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1.001266.000.00.00.H26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Khi chấm dứt hoạt động kinh doanh, hộ kinh doanh phải gửi Thông báo về việc chấm dứt hoạt động hộ kinh doanh và nộp lại bản gốc Giấy chứng nhận đăng ký hộ kinh doanh cho Cơ quan đăng ký kinh doanh cấp huyện nơi đã đăng ký, đồng thời thanh toán đầy đủ các khoản nợ, gồm cả nợ thuế và nghĩa vụ tài chính chưa thực hiện.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(Theo Nghị quyết số 02/2017/NQ-HĐND ngày 03/7/2017 của HĐND thành phố Hà Nội.)</w:t>
              <w:br/>
              <w:t>File đính kèm: 23.2018_NQ-HDND.pdf</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(Theo Nghị quyết số 02/2017/NQ-HĐND ngày 03/7/2017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Đăng ký trực tuyến tại địa chỉ  website http://dkkdqh.hapi.gov.vn.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(Theo Nghị quyết số 02/2017/NQ-HĐND ngày 03/7/2017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chấm dứt hoạt động hộ kinh doanh.</w:t>
            </w:r>
          </w:p>
        </w:tc>
        <w:tc>
          <w:p/>
          <w:p>
            <w:pPr>
              <w:spacing w:after="0" w:before="0" w:lineRule="auto" w:line="276"/>
              <w:jc w:val="left"/>
            </w:pPr>
            <w:r>
              <w:rPr>
                <w:rFonts w:ascii="Times New Roman" w:hAnsi="Times New Roman" w:cs="Times New Roman" w:eastAsia="Times New Roman"/>
                <w:b w:val="false"/>
                <w:sz w:val="26"/>
              </w:rPr>
              <w:t>mauso13Thngbovvicchmdthotnghkinhdoanh.docx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chấm dứt hoạt động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Cơ quan đăng ký kinh doanh cấp xã chuyển tình trạng pháp lý của hộ kinh doanh trong Cơ sở dữ liệu về đăng ký hộ kinh doanh sang tình trạng đã chấm dứt hoạt động nếu không nhận được ý kiến của Cơ quan thuế hoặc nhận được ý kiến của Cơ quan thuế xác nhận hộ kinh doanh đã hoàn thành nghĩa vụ thuế, đồng thời đăng tải thông báo về việc chấm dứt hoạt động của hộ kinh doanh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Thông tư 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02/2019/TT-BKHĐT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20/2015/TT-BKHĐT ngày 01 tháng 12 năm 2015 của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02/2017/NQ-HĐND</w:t>
            </w:r>
          </w:p>
        </w:tc>
        <w:tc>
          <w:p/>
          <w:p>
            <w:pPr>
              <w:spacing w:after="0" w:before="0" w:lineRule="auto" w:line="276"/>
              <w:jc w:val="left"/>
            </w:pPr>
            <w:r>
              <w:rPr>
                <w:rFonts w:ascii="Times New Roman" w:hAnsi="Times New Roman" w:cs="Times New Roman" w:eastAsia="Times New Roman"/>
                <w:b w:val="false"/>
                <w:sz w:val="26"/>
              </w:rPr>
              <w:t>Nghị quyết số 02/2017/NQ-HĐND</w:t>
            </w:r>
          </w:p>
        </w:tc>
        <w:tc>
          <w:p/>
          <w:p>
            <w:pPr>
              <w:spacing w:after="0" w:before="0" w:lineRule="auto" w:line="276"/>
              <w:jc w:val="left"/>
            </w:pPr>
            <w:r>
              <w:rPr>
                <w:rFonts w:ascii="Times New Roman" w:hAnsi="Times New Roman" w:cs="Times New Roman" w:eastAsia="Times New Roman"/>
                <w:b w:val="false"/>
                <w:sz w:val="26"/>
              </w:rPr>
              <w:t>27-04-2017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đầy đủ hồ sơ hợp lệ.
- Hộ kinh doanh có trách nhiệm thanh toán đầy đủ các khoản nợ, gồm cả nợ thuế và nghĩa vụ tài chính khác trước khi nộp hồ sơ đăng ký chấm dứt hoạt động hộ kinh doanh, trừ trường hợp hộ kinh doanh và chủ nợ có thỏa thuận khác.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bới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2026-05-27T19:37:47Z</dcterms:created>
  <dc:creator>Apache POI</dc:creator>
</cp:coreProperties>
</file>