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tạm ngừng kinh doanh từ 30 ngày trở lên, hộ kinh doanh phải gửi Thông báo về việc tạm ngừng kinh doanh của hộ kinh doanh cho cơ quan đăng ký kinh doanh cấp huyện nơi đã đăng ký kinh doanh và cơ quan thuế trực tiếp quản lý trước khi tạm ngừng kinh doanh.
</w:t>
      </w:r>
    </w:p>
    <w:p>
      <w:pPr>
        <w:spacing w:after="0" w:before="0" w:lineRule="auto" w:line="276"/>
        <w:jc w:val="both"/>
      </w:pPr>
      <w:r>
        <w:rPr>
          <w:rFonts w:ascii="Times New Roman" w:hAnsi="Times New Roman" w:cs="Times New Roman" w:eastAsia="Times New Roman"/>
          <w:b w:val="false"/>
          <w:sz w:val="26"/>
        </w:rPr>
        <w:t>- Khi nhận đầy được hồ sơ hợp lệ, Cơ quan đăng ký kinh doanh cấp huyện trao giấy biên nhận và đăng ký tạm ngừng kinh doanh cho hộ kinh doanh và cấp Giấy xác nhận về việc hộ kinh doanh đăng ký tạm ngừng kinh doanh.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2026-05-27T19:37:48Z</dcterms:created>
  <dc:creator>Apache POI</dc:creator>
</cp:coreProperties>
</file>