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hoặc nhóm cá nhân hoặc người đại diện hộ gia đình gửi Giấy đề nghị đăng ký hộ kinh doanh đến cơ quan đăng ký kinh doanh cấp huyện nơi đặt địa điểm kinh doanh.
</w:t>
      </w:r>
    </w:p>
    <w:p>
      <w:pPr>
        <w:spacing w:after="0" w:before="0" w:lineRule="auto" w:line="276"/>
        <w:jc w:val="both"/>
      </w:pPr>
      <w:r>
        <w:rPr>
          <w:rFonts w:ascii="Times New Roman" w:hAnsi="Times New Roman" w:cs="Times New Roman" w:eastAsia="Times New Roman"/>
          <w:b w:val="false"/>
          <w:sz w:val="26"/>
        </w:rPr>
        <w:t>- Trường hợp hồ sơ không hợp lệ, cơ quan đăng ký kinh doanh cấp huyện phải thông báo rõ nội dung cần sửa đổi, bổ sung bằng văn bản cho người thành lập hộ kinh doanh.
</w:t>
      </w:r>
    </w:p>
    <w:p>
      <w:pPr>
        <w:spacing w:after="0" w:before="0" w:lineRule="auto" w:line="276"/>
        <w:jc w:val="both"/>
      </w:pPr>
      <w:r>
        <w:rPr>
          <w:rFonts w:ascii="Times New Roman" w:hAnsi="Times New Roman" w:cs="Times New Roman" w:eastAsia="Times New Roman"/>
          <w:b w:val="false"/>
          <w:sz w:val="26"/>
        </w:rPr>
        <w:t>- Khi tiếp nhận hồ sơ, cơ quan đăng ký kinh doanh cấp huyện trao Giấy biên nhận và cấp Giấy chứng nhận đăng ký hộ kinh doanh cho hộ kinh doanh.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(Nghị quyết số 02/2017/NQ-HĐND ngày 03/7/2017 của HĐND thành phố Hà Nội.)</w:t>
              <w:br/>
              <w:t>File đính kèm: NQ 69 HĐND BRVT.pdf</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(Nghị quyết số 02/2017/NQ-HĐND ngày 03/7/2017 của HĐND thành phố Hà Nội.)</w:t>
              <w:br/>
              <w:t>File đính kèm: 27. qd ubnd.pdf</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Đăng ký trực tuyến tại địa chỉ  website http://dkkdqh.hapi.gov.vn.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(Nghị quyết số 02/2017/NQ-HĐND ngày 03/7/2017 của HĐND thành phố Hà Nội.)</w:t>
              <w:br/>
              <w:t>File đính kèm: 27. qd ubnd.pdf</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phường Xuân La, quận Tây Hồ, Hà Nội và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20/2015/TT-BKHĐT ngày 01 tháng 12 năm 2015 của Bộ Kế hoạch và Đầu tư hướng dẫn về đăng ký doanh nghiệp</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02/2017/NQ-HĐND</w:t>
            </w:r>
          </w:p>
        </w:tc>
        <w:tc>
          <w:p/>
          <w:p>
            <w:pPr>
              <w:spacing w:after="0" w:before="0" w:lineRule="auto" w:line="276"/>
              <w:jc w:val="left"/>
            </w:pPr>
            <w:r>
              <w:rPr>
                <w:rFonts w:ascii="Times New Roman" w:hAnsi="Times New Roman" w:cs="Times New Roman" w:eastAsia="Times New Roman"/>
                <w:b w:val="false"/>
                <w:sz w:val="26"/>
              </w:rPr>
              <w:t>Nghị quyết số 02/2017/NQ-HĐND</w:t>
            </w:r>
          </w:p>
        </w:tc>
        <w:tc>
          <w:p/>
          <w:p>
            <w:pPr>
              <w:spacing w:after="0" w:before="0" w:lineRule="auto" w:line="276"/>
              <w:jc w:val="left"/>
            </w:pPr>
            <w:r>
              <w:rPr>
                <w:rFonts w:ascii="Times New Roman" w:hAnsi="Times New Roman" w:cs="Times New Roman" w:eastAsia="Times New Roman"/>
                <w:b w:val="false"/>
                <w:sz w:val="26"/>
              </w:rPr>
              <w:t>27-04-2017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2026-05-27T19:37:24Z</dcterms:created>
  <dc:creator>Apache POI</dc:creator>
</cp:coreProperties>
</file>