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sản xuất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đang sản xuất tiền chất thuốc nổ có yêu cầu chuyển đổi tên tổ chức, doanh nghiệp mà không có sự thay đổi về điều kiện sản xuất thì đề nghị điều chỉnh giấy chứng nhận đủ điều kiện sản xuất tiền chất thuốc nổ.
- Nộp hồ sơ trên Cổng dịch vụ công quốc gia, Hệ thống thông tin giải quyết thủ tục hành chính của Ủy ban nhân dân cấp tỉnh hoặc gửi qua đường bưu chính về Ủy ban nhân dân cấp tỉnh; trường hợp trực tiếp nộp hồ sơ thì văn bản đề nghị bổ sung họ tên, số định danh cá nhân hoặc số hộ chiếu của người đến liên hệ.
- 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
- Ủy ban nhân dân cấp tỉnh có thẩm quyền cấp điều chỉnh giấy chứng nhận đủ điều kiện sản xuất tiền chất thuốc nổ.</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cấp giấy chứng nhận đủ điều kiện sản xuất tiền chất thuốc nổ; trường hợp không cấp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quy định tại Mẫu số 01 Phụ lục III ban hành kèm theo Thông tư số 23/2024/TT-BCT</w:t>
            </w:r>
          </w:p>
        </w:tc>
        <w:tc>
          <w:p/>
          <w:p>
            <w:pPr>
              <w:spacing w:after="0" w:before="0" w:lineRule="auto" w:line="276"/>
              <w:jc w:val="left"/>
            </w:pPr>
            <w:r>
              <w:rPr>
                <w:rFonts w:ascii="Times New Roman" w:hAnsi="Times New Roman" w:cs="Times New Roman" w:eastAsia="Times New Roman"/>
                <w:b w:val="false"/>
                <w:sz w:val="26"/>
              </w:rPr>
              <w:t>MaucapcaplaicapmoiVLNCNvTCTN.docx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của cơ quan, tổ chức có thẩm quyền cho phép đổi tên tổ chức,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đủ điều kiện về an ninh, trật tự đối với tổ chức, doanh nghiệp sản xuất tiền chất thuốc nổ là Amoni nitrat có hàm lượng từ 98,5% trở lên do cơ quan Công 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tiền chất thuốc nổ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yêu cầu chuyển đổi tên tổ chức, doanh nghiệp mà không có sự thay đổi về điều kiện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2026-04-30T20:18:44Z</dcterms:created>
  <dc:creator>Apache POI</dc:creator>
</cp:coreProperties>
</file>