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1.000904.000.00.00.H26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Karate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05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và Thể thao được phê duyệt tại Quyết định 5500/QĐ-UBND ngày 03/10/2016 của Chủ tịch UBND thành phố Hà Nội; Quyết định số 3782/QĐ-UBND ngày 25/7/2023 của UBND thành phố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và Thể thao được phê duyệt tại Quyết định 5500/QĐ-UBND ngày 03/10/2016 của Chủ tịch UBND thành phố Hà Nội; Quyết định số 3782/QĐ-UBND ngày 25/7/2023 của UBND thành phố Hà Nội.)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(Nghị quyết số 06/2020/NQ-HĐND ngày 07/7/2020 về việc ban hành một số quy định thu phí, lệ phí trên địa bàn thành phố Hà Nội thuộc thẩm quyền quyết định của HĐND Thành phố.)</w:t>
            </w:r>
          </w:p>
        </w:tc>
        <w:tc>
          <w:p/>
          <w:p>
            <w:pPr>
              <w:spacing w:after="0" w:before="0" w:lineRule="auto" w:line="276"/>
              <w:jc w:val="left"/>
            </w:pPr>
            <w:r>
              <w:rPr>
                <w:rFonts w:ascii="Times New Roman" w:hAnsi="Times New Roman" w:cs="Times New Roman" w:eastAsia="Times New Roman"/>
                <w:b w:val="false"/>
                <w:sz w:val="26"/>
              </w:rPr>
              <w:t>5 ngày làm việc kể từ ngày nhận đủ hồ sơ theo quy định (theo Phương án đơn giản hóa TTHC lĩnh vực Văn hóa và Thể thao được phê duyệt tại Quyết định 5500/QĐ-UBND ngày 03/10/2016 của Chủ tịch UBND thành phố Hà Nội; Quyết định số 3782/QĐ-UBND ngày 25/7/2023 của UBND thành phố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02/2018/TT-BVHTTDL </w:t>
            </w:r>
          </w:p>
        </w:tc>
        <w:tc>
          <w:p/>
          <w:p>
            <w:pPr>
              <w:spacing w:after="0" w:before="0" w:lineRule="auto" w:line="276"/>
              <w:jc w:val="left"/>
            </w:pPr>
            <w:r>
              <w:rPr>
                <w:rFonts w:ascii="Times New Roman" w:hAnsi="Times New Roman" w:cs="Times New Roman" w:eastAsia="Times New Roman"/>
                <w:b w:val="false"/>
                <w:sz w:val="26"/>
              </w:rPr>
              <w:t>Thông tư 02/2018/TT-BVHTTDL</w:t>
            </w:r>
          </w:p>
        </w:tc>
        <w:tc>
          <w:p/>
          <w:p>
            <w:pPr>
              <w:spacing w:after="0" w:before="0" w:lineRule="auto" w:line="276"/>
              <w:jc w:val="left"/>
            </w:pPr>
            <w:r>
              <w:rPr>
                <w:rFonts w:ascii="Times New Roman" w:hAnsi="Times New Roman" w:cs="Times New Roman" w:eastAsia="Times New Roman"/>
                <w:b w:val="false"/>
                <w:sz w:val="26"/>
              </w:rPr>
              <w:t>19-01-2018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Sàn tập bằng phẳng, không trơn trượt, có diện tích từ 60m2 trở lên.
b) Ánh sáng đảm bảo từ 200 lux trở lên.
c) Có võ phục chuyên môn Karate: găng tay màu xanh, găng tay màu đỏ; bộ bảo vệ bàn chân, ống quyển màu xanh; bộ bảo vệ bàn chân, ống quyển mày đỏ; dụng cụ đỡ đòn (lămpơ)
d) Có sổ theo dõi võ sinh tham gia tập luyện, ghi đầy đủ họ tên, năm sinh, địa chỉ, thời gian theo học và lưu đơn xin học của từng người.
(2) Cơ sở vật chất, trang thiết bị thi đấu
a) Thảm hình vuông có chiều dài mỗi cạnh từ 10m đến 12m;
b) Tuân thủ các quy định tại điểm a và điểm b mục (1) nêu trên.
c) Bảo vệ cơ thể, bịt răng, đồng hồ bấm giờ, bảng điểm, cân trọng lượng cơ thể, cồng và cờ trọng tài gồm hai màu xanh và màu đỏ;
d) Có võ phục chuyên môn Karate; găng tay màu xanh, găng tay màu đỏ; bộ bảo vệ bàn chân, ống quyển màu xanh; bộ bảo vệ bàn chân, ống quyển màu đỏ; dụng cụ đỡ đòn (lămpơ);
đ) Có khu vực thay đồ, gửi đồ, khu vực vệ sinh; có túi sơ cứu theo quy định của Bộ Y tế.
(3) Mật độ tập luyện
a) Mật độ tập luyện trên sàn bảo đảm ít nhất 03m2/01 võ sinh;
b) Mỗi người hướng dẫn tập luyện không quá 30 võ sinh/buổi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2026-05-17T05:50:34Z</dcterms:created>
  <dc:creator>Apache POI</dc:creator>
</cp:coreProperties>
</file>