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1.004153.000.00.00.H26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in (cấp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hoạt động, cơ sở in thuộc cơ quan, tổ chức thuộc địa phương thực hiện chế bản, in, gia công sau in các sản phẩm quy định tại điểm a và c khoản 4 Điều 2 Nghị định số 60/2014/NĐ-CP phải có hồ sơ đề nghị cấp giấy phép hoạt động in.</w:t>
      </w:r>
    </w:p>
    <w:p>
      <w:pPr>
        <w:spacing w:after="0" w:before="0" w:lineRule="auto" w:line="276"/>
        <w:jc w:val="both"/>
      </w:pPr>
      <w:r>
        <w:rPr>
          <w:rFonts w:ascii="Times New Roman" w:hAnsi="Times New Roman" w:cs="Times New Roman" w:eastAsia="Times New Roman"/>
          <w:b w:val="false"/>
          <w:sz w:val="26"/>
        </w:rPr>
        <w:t>Trong thời hạn 10 ngày, kể từ ngày nhận đủ hồ sơ theo quy định, cơ quan có thẩm quyền giải quyết phải cấp giấy phép, trong đó ghi rõ nội dung hoạt động phù hợp với thiết bị của cơ sở in,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in</w:t>
            </w:r>
          </w:p>
        </w:tc>
        <w:tc>
          <w:p/>
          <w:p>
            <w:pPr>
              <w:spacing w:after="0" w:before="0" w:lineRule="auto" w:line="276"/>
              <w:jc w:val="left"/>
            </w:pPr>
            <w:r>
              <w:rPr>
                <w:rFonts w:ascii="Times New Roman" w:hAnsi="Times New Roman" w:cs="Times New Roman" w:eastAsia="Times New Roman"/>
                <w:b w:val="false"/>
                <w:sz w:val="26"/>
              </w:rPr>
              <w:t>Mẫu số 01 Đơn đề nghị cấp giấy phép hoạt động in.pdf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đầu cơ sở in theo mẫu quy định.</w:t>
            </w:r>
          </w:p>
        </w:tc>
        <w:tc>
          <w:p/>
          <w:p>
            <w:pPr>
              <w:spacing w:after="0" w:before="0" w:lineRule="auto" w:line="276"/>
              <w:jc w:val="left"/>
            </w:pPr>
            <w:r>
              <w:rPr>
                <w:rFonts w:ascii="Times New Roman" w:hAnsi="Times New Roman" w:cs="Times New Roman" w:eastAsia="Times New Roman"/>
                <w:b w:val="false"/>
                <w:sz w:val="26"/>
              </w:rPr>
              <w:t>Mẫu số 03 Sơ yếu lý lịch của người đứng đầu cơ sở in.pdf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một trong các loại giấy chứng nhận đăng ký kinh doanh, giấy chứng nhận đăng ký doanh nghiệp, giấy chứng nhận đầu tư, giấy chứng nhận đăng ký thuế, quyết định thành lập cơ sở in đối với cơ sở in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cấp xã hoặc Chi nhánh số 1 Trung tâm phục vụ hành chính công Hà Nội - Địa chỉ 258 Võ Chí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03/2015/TT-BTTTT</w:t>
            </w:r>
          </w:p>
        </w:tc>
        <w:tc>
          <w:p/>
          <w:p>
            <w:pPr>
              <w:spacing w:after="0" w:before="0" w:lineRule="auto" w:line="276"/>
              <w:jc w:val="left"/>
            </w:pPr>
            <w:r>
              <w:rPr>
                <w:rFonts w:ascii="Times New Roman" w:hAnsi="Times New Roman" w:cs="Times New Roman" w:eastAsia="Times New Roman"/>
                <w:b w:val="false"/>
                <w:sz w:val="26"/>
              </w:rPr>
              <w:t>Thông tư 03/2015/TT-BTTTT</w:t>
            </w:r>
          </w:p>
        </w:tc>
        <w:tc>
          <w:p/>
          <w:p>
            <w:pPr>
              <w:spacing w:after="0" w:before="0" w:lineRule="auto" w:line="276"/>
              <w:jc w:val="left"/>
            </w:pPr>
            <w:r>
              <w:rPr>
                <w:rFonts w:ascii="Times New Roman" w:hAnsi="Times New Roman" w:cs="Times New Roman" w:eastAsia="Times New Roman"/>
                <w:b w:val="false"/>
                <w:sz w:val="26"/>
              </w:rPr>
              <w:t>06-03-2015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hoạt động của cơ sở in:
1. Có thiết bị phù hợp để thực hiện một hoặc nhiều công đoạn chế bản, in, gia công sau in theo nhu cầu, khả năng hoạt động của cơ sở in đúng với nội dung đơn đề nghị cấp giấy phép hoạt động in;
2. Có mặt bằng hợp pháp để thực hiện chế bản, in, gia công sau in;
3. Có chủ sở hữu là tổ chức (cơ quan nhà nước, tổ chức chính trị, tổ chức chính trị - xã hội, tổ chức chính trị - xã hội - nghề nghiệp, tổ chức xã hội - nghề nghiệp, đơn vị sự nghiệp công lập, tổ chức kinh tế có chủ sở hữu là công dân Việt Nam) hoặc cá nhân là công dân Việt Nam; có người đứng đầu là công dân Việt Nam, thường trú hợp pháp tại Việt Nam, có năng lực hành vi dân sự đầy đủ.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2026-05-17T07:51:55Z</dcterms:created>
  <dc:creator>Apache POI</dc:creator>
</cp:coreProperties>
</file>