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2.000150.H50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1371/QĐ-UBND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lại Giấy phép bán lẻ sản phẩm thuốc lá</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Lưu thông hàng hóa trong nước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Trường hợp cấp lại do hết thời hạn hiệu lực:
Đối với trường hợp Giấy phép bán lẻ sản phẩm thuốc lá đã được cấp hết thời hạn hiệu lực, trước thời điểm hết hiệu lực của giấy phép 30 ngày, thương nhân bán lẻ sản phẩm thuốc lá nộp hồ sơ xin cấp lại giấy phép trong trường hợp tiếp tục kinh doanh đến Uỷ ban nhân dân cấp xã nơi đặt trụ sở chính. Hồ sơ, trình tự thủ tục cấp lại như đối với trường hợp cấp mới.
* Trường hợp cấp lại Giấy phép do bị mất, bị tiêu hủy toàn bộ hoặc một phần, bị rách, nát hoặc bị cháy:
- Thương nhân được cấp phép phải lập, nộp 01 bộ hồ sơ đề nghị cấp lại tới Ủy ban nhân dân cấp xã nơi đặt trụ sở chính. 
- Trong thời hạn 15 ngày làm việc kể từ ngày nhận đủ hồ sơ hợp lệ, Ủy ban nhân dân cấp xã xem xét và cấp lại Giấy phép bán lẻ sản phẩm thuốc lá. 
- Trường hợp tổ chức, cá nhân không đáp ứng được điều kiện theo quy định, cơ quan có thẩm quyền cấp phép sẽ có văn bản trả lời từ chối cấp phép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t xml:space="preserve">Phí : * Từ ngày 01/7/2025 đến hết ngày 31/12/2026: thực hiện theo biểu thu phí tại khoản 1 Điều 1 Thông tư số 64/2025/TT-BTC ngày 30/6/2025 của Bộ trưởng Bộ Tài chính:  -  Phí thẩm định: 100.000 đồng/điểm kinh doanh/lần thẩm định * Sau ngày 31/12/2026: thực hiện theo khoản 2 Điều 4 Thông tư số 168/2016/TT-BTC ngày 26/10/2016 và Thông tư số 71/2025/TT-BTC ngày 01/7/2025 của Bộ trưởng Bộ Tài chính:  - Phí thẩm định: 200.000 đồng/điểm kinh doanh/lần thẩm định </w:t>
            </w:r>
          </w:p>
        </w:tc>
        <w:tc>
          <w:p/>
          <w:p>
            <w:pPr>
              <w:spacing w:after="0" w:before="0" w:lineRule="auto" w:line="276"/>
              <w:jc w:val="left"/>
            </w:pPr>
            <w:r>
              <w:rPr>
                <w:rFonts w:ascii="Times New Roman" w:hAnsi="Times New Roman" w:cs="Times New Roman" w:eastAsia="Times New Roman"/>
                <w:b w:val="false"/>
                <w:sz w:val="26"/>
              </w:rPr>
              <w:t>15 ngày làm việc kể từ ngày nhận được hồ sơ đầy đủ và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t xml:space="preserve">Phí : * Từ ngày 01/7/2025 đến hết ngày 31/12/2026: thực hiện theo biểu thu phí tại khoản 1 Điều 1 Thông tư số 64/2025/TT-BTC ngày 30/6/2025 của Bộ trưởng Bộ Tài chính:  -  Phí thẩm định: 100.000 đồng/điểm kinh doanh/lần thẩm định * Sau ngày 31/12/2026: thực hiện theo khoản 2 Điều 4 Thông tư số 168/2016/TT-BTC ngày 26/10/2016 và Thông tư số 71/2025/TT-BTC ngày 01/7/2025 của Bộ trưởng Bộ Tài chính:  - Phí thẩm định: 200.000 đồng/điểm kinh doanh/lần thẩm định </w:t>
            </w:r>
          </w:p>
        </w:tc>
        <w:tc>
          <w:p/>
          <w:p>
            <w:pPr>
              <w:spacing w:after="0" w:before="0" w:lineRule="auto" w:line="276"/>
              <w:jc w:val="left"/>
            </w:pPr>
            <w:r>
              <w:rPr>
                <w:rFonts w:ascii="Times New Roman" w:hAnsi="Times New Roman" w:cs="Times New Roman" w:eastAsia="Times New Roman"/>
                <w:b w:val="false"/>
                <w:sz w:val="26"/>
              </w:rPr>
              <w:t>15 ngày làm việc kể từ ngày nhận được hồ sơ đầy đủ và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t xml:space="preserve">Phí : * Từ ngày 01/7/2025 đến hết ngày 31/12/2026: thực hiện theo biểu thu phí tại khoản 1 Điều 1 Thông tư số 64/2025/TT-BTC ngày 30/6/2025 của Bộ trưởng Bộ Tài chính:  -  Phí thẩm định: 100.000 đồng/điểm kinh doanh/lần thẩm định * Sau ngày 31/12/2026: thực hiện theo khoản 2 Điều 4 Thông tư số 168/2016/TT-BTC ngày 26/10/2016 và Thông tư số 71/2025/TT-BTC ngày 01/7/2025 của Bộ trưởng Bộ Tài chính:  - Phí thẩm định: 200.000 đồng/điểm kinh doanh/lần thẩm định </w:t>
            </w:r>
          </w:p>
        </w:tc>
        <w:tc>
          <w:p/>
          <w:p>
            <w:pPr>
              <w:spacing w:after="0" w:before="0" w:lineRule="auto" w:line="276"/>
              <w:jc w:val="left"/>
            </w:pPr>
            <w:r>
              <w:rPr>
                <w:rFonts w:ascii="Times New Roman" w:hAnsi="Times New Roman" w:cs="Times New Roman" w:eastAsia="Times New Roman"/>
                <w:b w:val="false"/>
                <w:sz w:val="26"/>
              </w:rPr>
              <w:t>15 ngày làm việc kể từ ngày nhận được hồ sơ đầy đủ và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Trường hợp Giấy phép kinh doanh bán lẻ sản phẩm rượu bị mất, bị tiêu hủy toàn bộ hoặc một phần, bị rách, nát hoặc bị cháy: Hồ sơ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 Bản sao Giấy phép bán lẻ sản phẩm thuốc lá đã được cấp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Văn bản đề nghị cấp lại</w:t>
            </w:r>
          </w:p>
        </w:tc>
        <w:tc>
          <w:p/>
          <w:p>
            <w:pPr>
              <w:spacing w:after="0" w:before="0" w:lineRule="auto" w:line="276"/>
              <w:jc w:val="left"/>
            </w:pPr>
            <w:r>
              <w:rPr>
                <w:rFonts w:ascii="Times New Roman" w:hAnsi="Times New Roman" w:cs="Times New Roman" w:eastAsia="Times New Roman"/>
                <w:b w:val="false"/>
                <w:sz w:val="26"/>
              </w:rPr>
              <w:t>MaucaplaiTL.docx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Trường hợp cấp lại Giấy phép do hết thời hạn hiệu lực</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Hồ sơ, thẩm quyền, trình tự, thủ tục cấp lại đối với quy định tại khoản này áp dụng như quy định đối với trường hợp cấp mới.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Cơ quan giải quyết TTHC khai thác, sử dụng thông tin đã có trong Cơ sở dữ liệu quốc gia về đăng ký doanh nghiệp để thay thế thành phần hồ sơ Bản sao giấy chứng nhận đăng ký doanh nghiệp.  Trường hợp Cơ quan giải quyết TTHC không khai thác được hoặc khai thác không đầy đủ dữ liệu doanh nghiệp trên Cơ sở dữ liệu quốc gia về đăng ký doanh nghiệp, Cơ quan giải quyết TTHC yêu cầu doanh nghiệp bổ sung Bản sao Giấy chứng nhận đăng ký doanh nghiệp theo quy định tại Điều 8 Nghị quyết 66.7/2025/NQ-CP ngày 15/11/2025 của Chính phủ quy định cắt giảm, đơn giản hóa thủ tục hành chính dựa trên dữ liệu,.</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UBND cấp xã - tỉnh Quảng Trị</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UBND cấp xã - tỉnh Quảng Trị</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 của tỉnh Quảng Trị; Trung tâm Phục vụ hành chính công tỉnh Quảng Trị</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Cấp lại Giấy phép bán lẻ sản phẩm thuốc lá</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09/2012/QH13</w:t>
            </w:r>
          </w:p>
        </w:tc>
        <w:tc>
          <w:p/>
          <w:p>
            <w:pPr>
              <w:spacing w:after="0" w:before="0" w:lineRule="auto" w:line="276"/>
              <w:jc w:val="left"/>
            </w:pPr>
            <w:r>
              <w:rPr>
                <w:rFonts w:ascii="Times New Roman" w:hAnsi="Times New Roman" w:cs="Times New Roman" w:eastAsia="Times New Roman"/>
                <w:b w:val="false"/>
                <w:sz w:val="26"/>
              </w:rPr>
              <w:t>Luật Phòng, chống tác hại của thuốc lá</w:t>
            </w:r>
          </w:p>
        </w:tc>
        <w:tc>
          <w:p/>
          <w:p>
            <w:pPr>
              <w:spacing w:after="0" w:before="0" w:lineRule="auto" w:line="276"/>
              <w:jc w:val="left"/>
            </w:pPr>
            <w:r>
              <w:rPr>
                <w:rFonts w:ascii="Times New Roman" w:hAnsi="Times New Roman" w:cs="Times New Roman" w:eastAsia="Times New Roman"/>
                <w:b w:val="false"/>
                <w:sz w:val="26"/>
              </w:rPr>
              <w:t>18-06-2012</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67/2013/NĐ-CP</w:t>
            </w:r>
          </w:p>
        </w:tc>
        <w:tc>
          <w:p/>
          <w:p>
            <w:pPr>
              <w:spacing w:after="0" w:before="0" w:lineRule="auto" w:line="276"/>
              <w:jc w:val="left"/>
            </w:pPr>
            <w:r>
              <w:rPr>
                <w:rFonts w:ascii="Times New Roman" w:hAnsi="Times New Roman" w:cs="Times New Roman" w:eastAsia="Times New Roman"/>
                <w:b w:val="false"/>
                <w:sz w:val="26"/>
              </w:rPr>
              <w:t>Quy định chi tiết một số điều và biện pháp thi hành Luật Phòng, chống tác hại của thuốc lá về kinh doanh thuốc lá</w:t>
            </w:r>
          </w:p>
        </w:tc>
        <w:tc>
          <w:p/>
          <w:p>
            <w:pPr>
              <w:spacing w:after="0" w:before="0" w:lineRule="auto" w:line="276"/>
              <w:jc w:val="left"/>
            </w:pPr>
            <w:r>
              <w:rPr>
                <w:rFonts w:ascii="Times New Roman" w:hAnsi="Times New Roman" w:cs="Times New Roman" w:eastAsia="Times New Roman"/>
                <w:b w:val="false"/>
                <w:sz w:val="26"/>
              </w:rPr>
              <w:t>27-06-2013</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21/2013/TT-BCT</w:t>
            </w:r>
          </w:p>
        </w:tc>
        <w:tc>
          <w:p/>
          <w:p>
            <w:pPr>
              <w:spacing w:after="0" w:before="0" w:lineRule="auto" w:line="276"/>
              <w:jc w:val="left"/>
            </w:pPr>
            <w:r>
              <w:rPr>
                <w:rFonts w:ascii="Times New Roman" w:hAnsi="Times New Roman" w:cs="Times New Roman" w:eastAsia="Times New Roman"/>
                <w:b w:val="false"/>
                <w:sz w:val="26"/>
              </w:rPr>
              <w:t>Quy định chi tiết một số điều của Nghị định số 67/2013/NĐ-CP ngày 27 tháng 6 năm 2013 của Chính phủ quy định chi tiết một số điều và biện pháp thi hành Luật Phòng, chống tác hại của thuốc lá về kinh doanh thuốc lá</w:t>
            </w:r>
          </w:p>
        </w:tc>
        <w:tc>
          <w:p/>
          <w:p>
            <w:pPr>
              <w:spacing w:after="0" w:before="0" w:lineRule="auto" w:line="276"/>
              <w:jc w:val="left"/>
            </w:pPr>
            <w:r>
              <w:rPr>
                <w:rFonts w:ascii="Times New Roman" w:hAnsi="Times New Roman" w:cs="Times New Roman" w:eastAsia="Times New Roman"/>
                <w:b w:val="false"/>
                <w:sz w:val="26"/>
              </w:rPr>
              <w:t>25-09-2013</w:t>
            </w:r>
          </w:p>
        </w:tc>
        <w:tc>
          <w:p/>
          <w:p>
            <w:pPr>
              <w:spacing w:after="0" w:before="0" w:lineRule="auto" w:line="276"/>
              <w:jc w:val="left"/>
            </w:pPr>
            <w:r>
              <w:rPr>
                <w:rFonts w:ascii="Times New Roman" w:hAnsi="Times New Roman" w:cs="Times New Roman" w:eastAsia="Times New Roman"/>
                <w:b w:val="false"/>
                <w:sz w:val="26"/>
              </w:rPr>
              <w:t>Bộ Công thương</w:t>
            </w:r>
          </w:p>
        </w:tc>
      </w:tr>
      <w:tr>
        <w:tc>
          <w:p/>
          <w:p>
            <w:pPr>
              <w:spacing w:after="0" w:before="0" w:lineRule="auto" w:line="276"/>
              <w:jc w:val="left"/>
            </w:pPr>
            <w:r>
              <w:rPr>
                <w:rFonts w:ascii="Times New Roman" w:hAnsi="Times New Roman" w:cs="Times New Roman" w:eastAsia="Times New Roman"/>
                <w:b w:val="false"/>
                <w:sz w:val="26"/>
              </w:rPr>
              <w:t>08/2018/NĐ-CP</w:t>
            </w:r>
          </w:p>
        </w:tc>
        <w:tc>
          <w:p/>
          <w:p>
            <w:pPr>
              <w:spacing w:after="0" w:before="0" w:lineRule="auto" w:line="276"/>
              <w:jc w:val="left"/>
            </w:pPr>
            <w:r>
              <w:rPr>
                <w:rFonts w:ascii="Times New Roman" w:hAnsi="Times New Roman" w:cs="Times New Roman" w:eastAsia="Times New Roman"/>
                <w:b w:val="false"/>
                <w:sz w:val="26"/>
              </w:rPr>
              <w:t>Sửa đổi một số Nghị định liên quan đến điều kiện đầu tư kinh doanh thuộc phạm vi quản lý nhà nước của Bộ Công Thương</w:t>
            </w:r>
          </w:p>
        </w:tc>
        <w:tc>
          <w:p/>
          <w:p>
            <w:pPr>
              <w:spacing w:after="0" w:before="0" w:lineRule="auto" w:line="276"/>
              <w:jc w:val="left"/>
            </w:pPr>
            <w:r>
              <w:rPr>
                <w:rFonts w:ascii="Times New Roman" w:hAnsi="Times New Roman" w:cs="Times New Roman" w:eastAsia="Times New Roman"/>
                <w:b w:val="false"/>
                <w:sz w:val="26"/>
              </w:rPr>
              <w:t>15-01-2018</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57/2018/TT-BCT</w:t>
            </w:r>
          </w:p>
        </w:tc>
        <w:tc>
          <w:p/>
          <w:p>
            <w:pPr>
              <w:spacing w:after="0" w:before="0" w:lineRule="auto" w:line="276"/>
              <w:jc w:val="left"/>
            </w:pPr>
            <w:r>
              <w:rPr>
                <w:rFonts w:ascii="Times New Roman" w:hAnsi="Times New Roman" w:cs="Times New Roman" w:eastAsia="Times New Roman"/>
                <w:b w:val="false"/>
                <w:sz w:val="26"/>
              </w:rPr>
              <w:t>Thông tư 57/2018/TT-BCT</w:t>
            </w:r>
          </w:p>
        </w:tc>
        <w:tc>
          <w:p/>
          <w:p>
            <w:pPr>
              <w:spacing w:after="0" w:before="0" w:lineRule="auto" w:line="276"/>
              <w:jc w:val="left"/>
            </w:pPr>
            <w:r>
              <w:rPr>
                <w:rFonts w:ascii="Times New Roman" w:hAnsi="Times New Roman" w:cs="Times New Roman" w:eastAsia="Times New Roman"/>
                <w:b w:val="false"/>
                <w:sz w:val="26"/>
              </w:rPr>
              <w:t>28-12-2018</w:t>
            </w:r>
          </w:p>
        </w:tc>
        <w:tc>
          <w:p/>
          <w:p>
            <w:pPr>
              <w:spacing w:after="0" w:before="0" w:lineRule="auto" w:line="276"/>
              <w:jc w:val="left"/>
            </w:pPr>
            <w:r>
              <w:rPr>
                <w:rFonts w:ascii="Times New Roman" w:hAnsi="Times New Roman" w:cs="Times New Roman" w:eastAsia="Times New Roman"/>
                <w:b w:val="false"/>
                <w:sz w:val="26"/>
              </w:rPr>
              <w:t>Bộ Công thương</w:t>
            </w:r>
          </w:p>
        </w:tc>
      </w:tr>
      <w:tr>
        <w:tc>
          <w:p/>
          <w:p>
            <w:pPr>
              <w:spacing w:after="0" w:before="0" w:lineRule="auto" w:line="276"/>
              <w:jc w:val="left"/>
            </w:pPr>
            <w:r>
              <w:rPr>
                <w:rFonts w:ascii="Times New Roman" w:hAnsi="Times New Roman" w:cs="Times New Roman" w:eastAsia="Times New Roman"/>
                <w:b w:val="false"/>
                <w:sz w:val="26"/>
              </w:rPr>
              <w:t xml:space="preserve">Nghị định số 106/2017/NĐ-CP </w:t>
            </w:r>
          </w:p>
        </w:tc>
        <w:tc>
          <w:p/>
          <w:p>
            <w:pPr>
              <w:spacing w:after="0" w:before="0" w:lineRule="auto" w:line="276"/>
              <w:jc w:val="left"/>
            </w:pPr>
            <w:r>
              <w:rPr>
                <w:rFonts w:ascii="Times New Roman" w:hAnsi="Times New Roman" w:cs="Times New Roman" w:eastAsia="Times New Roman"/>
                <w:b w:val="false"/>
                <w:sz w:val="26"/>
              </w:rPr>
              <w:t>bổ sung, sửa đổi một số điều của Nghị định số 67/2013/NĐ-CP ngày 27/9/2013 của Chính phủ quy định chi tiết một số điều và biện pháp thi hành Luật phòng, chống tác hại của thuốc lá về kinh doanh thuốc lá.</w:t>
            </w:r>
          </w:p>
        </w:tc>
        <w:tc>
          <w:p/>
          <w:p>
            <w:pPr>
              <w:spacing w:after="0" w:before="0" w:lineRule="auto" w:line="276"/>
              <w:jc w:val="left"/>
            </w:pPr>
            <w:r>
              <w:rPr>
                <w:rFonts w:ascii="Times New Roman" w:hAnsi="Times New Roman" w:cs="Times New Roman" w:eastAsia="Times New Roman"/>
                <w:b w:val="false"/>
                <w:sz w:val="26"/>
              </w:rPr>
              <w:t>14-09-2017</w:t>
            </w:r>
          </w:p>
        </w:tc>
        <w:tc>
          <w:p/>
        </w:tc>
      </w:tr>
      <w:tr>
        <w:tc>
          <w:p/>
          <w:p>
            <w:pPr>
              <w:spacing w:after="0" w:before="0" w:lineRule="auto" w:line="276"/>
              <w:jc w:val="left"/>
            </w:pPr>
            <w:r>
              <w:rPr>
                <w:rFonts w:ascii="Times New Roman" w:hAnsi="Times New Roman" w:cs="Times New Roman" w:eastAsia="Times New Roman"/>
                <w:b w:val="false"/>
                <w:sz w:val="26"/>
              </w:rPr>
              <w:t xml:space="preserve">Thông tư số 168/2016/TT-BTC </w:t>
            </w:r>
          </w:p>
        </w:tc>
        <w:tc>
          <w:p/>
          <w:p>
            <w:pPr>
              <w:spacing w:after="0" w:before="0" w:lineRule="auto" w:line="276"/>
              <w:jc w:val="left"/>
            </w:pPr>
            <w:r>
              <w:rPr>
                <w:rFonts w:ascii="Times New Roman" w:hAnsi="Times New Roman" w:cs="Times New Roman" w:eastAsia="Times New Roman"/>
                <w:b w:val="false"/>
                <w:sz w:val="26"/>
              </w:rPr>
              <w:t>quản lý và sử dụng phí thẩm định kinh doanh hàng hoá, dịch vụ hạn chế kinh doanh; hàng hoá, dịch vụ kinh doanh có điều kiện thuộc lĩnh vực thương mại và lệ phí cấp Giấy phép thành lập Sở Giao dịch hàng hoá.</w:t>
            </w:r>
          </w:p>
        </w:tc>
        <w:tc>
          <w:p/>
          <w:p>
            <w:pPr>
              <w:spacing w:after="0" w:before="0" w:lineRule="auto" w:line="276"/>
              <w:jc w:val="left"/>
            </w:pPr>
            <w:r>
              <w:rPr>
                <w:rFonts w:ascii="Times New Roman" w:hAnsi="Times New Roman" w:cs="Times New Roman" w:eastAsia="Times New Roman"/>
                <w:b w:val="false"/>
                <w:sz w:val="26"/>
              </w:rPr>
              <w:t>26-10-2016</w:t>
            </w:r>
          </w:p>
        </w:tc>
        <w:tc>
          <w:p/>
        </w:tc>
      </w:tr>
      <w:tr>
        <w:tc>
          <w:p/>
          <w:p>
            <w:pPr>
              <w:spacing w:after="0" w:before="0" w:lineRule="auto" w:line="276"/>
              <w:jc w:val="left"/>
            </w:pPr>
            <w:r>
              <w:rPr>
                <w:rFonts w:ascii="Times New Roman" w:hAnsi="Times New Roman" w:cs="Times New Roman" w:eastAsia="Times New Roman"/>
                <w:b w:val="false"/>
                <w:sz w:val="26"/>
              </w:rPr>
              <w:t>01/2013/TT-BVHTTDL</w:t>
            </w:r>
          </w:p>
        </w:tc>
        <w:tc>
          <w:p/>
          <w:p>
            <w:pPr>
              <w:spacing w:after="0" w:before="0" w:lineRule="auto" w:line="276"/>
              <w:jc w:val="left"/>
            </w:pPr>
            <w:r>
              <w:rPr>
                <w:rFonts w:ascii="Times New Roman" w:hAnsi="Times New Roman" w:cs="Times New Roman" w:eastAsia="Times New Roman"/>
                <w:b w:val="false"/>
                <w:sz w:val="26"/>
              </w:rPr>
              <w:t>01/2013/TT-BVHTTDL</w:t>
            </w:r>
          </w:p>
        </w:tc>
        <w:tc>
          <w:p/>
          <w:p>
            <w:pPr>
              <w:spacing w:after="0" w:before="0" w:lineRule="auto" w:line="276"/>
              <w:jc w:val="left"/>
            </w:pPr>
            <w:r>
              <w:rPr>
                <w:rFonts w:ascii="Times New Roman" w:hAnsi="Times New Roman" w:cs="Times New Roman" w:eastAsia="Times New Roman"/>
                <w:b w:val="false"/>
                <w:sz w:val="26"/>
              </w:rPr>
              <w:t>02-01-2013</w:t>
            </w:r>
          </w:p>
        </w:tc>
        <w:tc>
          <w:p/>
        </w:tc>
      </w:tr>
      <w:tr>
        <w:tc>
          <w:p/>
          <w:p>
            <w:pPr>
              <w:spacing w:after="0" w:before="0" w:lineRule="auto" w:line="276"/>
              <w:jc w:val="left"/>
            </w:pPr>
            <w:r>
              <w:rPr>
                <w:rFonts w:ascii="Times New Roman" w:hAnsi="Times New Roman" w:cs="Times New Roman" w:eastAsia="Times New Roman"/>
                <w:b w:val="false"/>
                <w:sz w:val="26"/>
              </w:rPr>
              <w:t>17/2020/NĐ-CP</w:t>
            </w:r>
          </w:p>
        </w:tc>
        <w:tc>
          <w:p/>
          <w:p>
            <w:pPr>
              <w:spacing w:after="0" w:before="0" w:lineRule="auto" w:line="276"/>
              <w:jc w:val="left"/>
            </w:pPr>
            <w:r>
              <w:rPr>
                <w:rFonts w:ascii="Times New Roman" w:hAnsi="Times New Roman" w:cs="Times New Roman" w:eastAsia="Times New Roman"/>
                <w:b w:val="false"/>
                <w:sz w:val="26"/>
              </w:rPr>
              <w:t>Sửa đổi, bổ sung một số điều của các Nghị định liên quan đến điều kiện đầu tư kinh doanh thuộc lĩnh vực quản lý nhà nước của Bộ Công Thương</w:t>
            </w:r>
          </w:p>
        </w:tc>
        <w:tc>
          <w:p/>
          <w:p>
            <w:pPr>
              <w:spacing w:after="0" w:before="0" w:lineRule="auto" w:line="276"/>
              <w:jc w:val="left"/>
            </w:pPr>
            <w:r>
              <w:rPr>
                <w:rFonts w:ascii="Times New Roman" w:hAnsi="Times New Roman" w:cs="Times New Roman" w:eastAsia="Times New Roman"/>
                <w:b w:val="false"/>
                <w:sz w:val="26"/>
              </w:rPr>
              <w:t>05-02-2020</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28/2019/TT-BCT</w:t>
            </w:r>
          </w:p>
        </w:tc>
        <w:tc>
          <w:p/>
          <w:p>
            <w:pPr>
              <w:spacing w:after="0" w:before="0" w:lineRule="auto" w:line="276"/>
              <w:jc w:val="left"/>
            </w:pPr>
            <w:r>
              <w:rPr>
                <w:rFonts w:ascii="Times New Roman" w:hAnsi="Times New Roman" w:cs="Times New Roman" w:eastAsia="Times New Roman"/>
                <w:b w:val="false"/>
                <w:sz w:val="26"/>
              </w:rPr>
              <w:t>Sửa đổi, bổ sung một số điều của Thông tư số 57/2018/TT-BCT ngày 26 tháng 12 năm 2018 của Bộ trưởng Bộ Công Thương quy định chi tiết một số điều của các Nghị định liên quan đến kinh doanh thuốc lá</w:t>
            </w:r>
          </w:p>
        </w:tc>
        <w:tc>
          <w:p/>
          <w:p>
            <w:pPr>
              <w:spacing w:after="0" w:before="0" w:lineRule="auto" w:line="276"/>
              <w:jc w:val="left"/>
            </w:pPr>
            <w:r>
              <w:rPr>
                <w:rFonts w:ascii="Times New Roman" w:hAnsi="Times New Roman" w:cs="Times New Roman" w:eastAsia="Times New Roman"/>
                <w:b w:val="false"/>
                <w:sz w:val="26"/>
              </w:rPr>
              <w:t>15-11-2019</w:t>
            </w:r>
          </w:p>
        </w:tc>
        <w:tc>
          <w:p/>
          <w:p>
            <w:pPr>
              <w:spacing w:after="0" w:before="0" w:lineRule="auto" w:line="276"/>
              <w:jc w:val="left"/>
            </w:pPr>
            <w:r>
              <w:rPr>
                <w:rFonts w:ascii="Times New Roman" w:hAnsi="Times New Roman" w:cs="Times New Roman" w:eastAsia="Times New Roman"/>
                <w:b w:val="false"/>
                <w:sz w:val="26"/>
              </w:rPr>
              <w:t>Bộ Công thương</w:t>
            </w:r>
          </w:p>
        </w:tc>
      </w:tr>
      <w:tr>
        <w:tc>
          <w:p/>
          <w:p>
            <w:pPr>
              <w:spacing w:after="0" w:before="0" w:lineRule="auto" w:line="276"/>
              <w:jc w:val="left"/>
            </w:pPr>
            <w:r>
              <w:rPr>
                <w:rFonts w:ascii="Times New Roman" w:hAnsi="Times New Roman" w:cs="Times New Roman" w:eastAsia="Times New Roman"/>
                <w:b w:val="false"/>
                <w:sz w:val="26"/>
              </w:rPr>
              <w:t>139/2025/NĐ-CP</w:t>
            </w:r>
          </w:p>
        </w:tc>
        <w:tc>
          <w:p/>
          <w:p>
            <w:pPr>
              <w:spacing w:after="0" w:before="0" w:lineRule="auto" w:line="276"/>
              <w:jc w:val="left"/>
            </w:pPr>
            <w:r>
              <w:rPr>
                <w:rFonts w:ascii="Times New Roman" w:hAnsi="Times New Roman" w:cs="Times New Roman" w:eastAsia="Times New Roman"/>
                <w:b w:val="false"/>
                <w:sz w:val="26"/>
              </w:rPr>
              <w:t>Quy định về phân định thẩm quyền của chính quyền địa phương 02 cấp trong lĩnh vực quản lý nhà nước của Bộ Công Thương</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38/2025/TT-BCT</w:t>
            </w:r>
          </w:p>
        </w:tc>
        <w:tc>
          <w:p/>
          <w:p>
            <w:pPr>
              <w:spacing w:after="0" w:before="0" w:lineRule="auto" w:line="276"/>
              <w:jc w:val="left"/>
            </w:pPr>
            <w:r>
              <w:rPr>
                <w:rFonts w:ascii="Times New Roman" w:hAnsi="Times New Roman" w:cs="Times New Roman" w:eastAsia="Times New Roman"/>
                <w:b w:val="false"/>
                <w:sz w:val="26"/>
              </w:rPr>
              <w:t>Sửa đổi, bổ sung một số quy định về phân cấp thực hiện thủ tục hành chính trong các lĩnh vực thuộc phạm vi quản lý của Bộ Công Thương</w:t>
            </w:r>
          </w:p>
        </w:tc>
        <w:tc>
          <w:p/>
          <w:p>
            <w:pPr>
              <w:spacing w:after="0" w:before="0" w:lineRule="auto" w:line="276"/>
              <w:jc w:val="left"/>
            </w:pPr>
            <w:r>
              <w:rPr>
                <w:rFonts w:ascii="Times New Roman" w:hAnsi="Times New Roman" w:cs="Times New Roman" w:eastAsia="Times New Roman"/>
                <w:b w:val="false"/>
                <w:sz w:val="26"/>
              </w:rPr>
              <w:t>19-06-2025</w:t>
            </w:r>
          </w:p>
        </w:tc>
        <w:tc>
          <w:p/>
          <w:p>
            <w:pPr>
              <w:spacing w:after="0" w:before="0" w:lineRule="auto" w:line="276"/>
              <w:jc w:val="left"/>
            </w:pPr>
            <w:r>
              <w:rPr>
                <w:rFonts w:ascii="Times New Roman" w:hAnsi="Times New Roman" w:cs="Times New Roman" w:eastAsia="Times New Roman"/>
                <w:b w:val="false"/>
                <w:sz w:val="26"/>
              </w:rPr>
              <w:t>Bộ Công thương</w:t>
            </w:r>
          </w:p>
        </w:tc>
      </w:tr>
      <w:tr>
        <w:tc>
          <w:p/>
          <w:p>
            <w:pPr>
              <w:spacing w:after="0" w:before="0" w:lineRule="auto" w:line="276"/>
              <w:jc w:val="left"/>
            </w:pPr>
            <w:r>
              <w:rPr>
                <w:rFonts w:ascii="Times New Roman" w:hAnsi="Times New Roman" w:cs="Times New Roman" w:eastAsia="Times New Roman"/>
                <w:b w:val="false"/>
                <w:sz w:val="26"/>
              </w:rPr>
              <w:t>1288/QĐ-UBND</w:t>
            </w:r>
          </w:p>
        </w:tc>
        <w:tc>
          <w:p/>
          <w:p>
            <w:pPr>
              <w:spacing w:after="0" w:before="0" w:lineRule="auto" w:line="276"/>
              <w:jc w:val="left"/>
            </w:pPr>
            <w:r>
              <w:rPr>
                <w:rFonts w:ascii="Times New Roman" w:hAnsi="Times New Roman" w:cs="Times New Roman" w:eastAsia="Times New Roman"/>
                <w:b w:val="false"/>
                <w:sz w:val="26"/>
              </w:rPr>
              <w:t>Quyết định Công bố Danh mục thủ tục hành chính được sửa đổi, bổ sung trong các lĩnh vực Kinh doanh khí, Lưu thông hàng hóa trong nước, Tài sản kết cấu hạ tầng chợ do nhà nước đầu tư quản lý, An toàn đập, hồ chứa thủy điện, Công nghiệp địa phương, Công nghiệp tiêu dùng thuộc thẩm quyền giải quyết của UBND cấp xã trên địa bàn tỉnh Quảng Trị</w:t>
            </w:r>
          </w:p>
        </w:tc>
        <w:tc>
          <w:p/>
          <w:p>
            <w:pPr>
              <w:spacing w:after="0" w:before="0" w:lineRule="auto" w:line="276"/>
              <w:jc w:val="left"/>
            </w:pPr>
            <w:r>
              <w:rPr>
                <w:rFonts w:ascii="Times New Roman" w:hAnsi="Times New Roman" w:cs="Times New Roman" w:eastAsia="Times New Roman"/>
                <w:b w:val="false"/>
                <w:sz w:val="26"/>
              </w:rPr>
              <w:t>03-09-2025</w:t>
            </w:r>
          </w:p>
        </w:tc>
        <w:tc>
          <w:p/>
        </w:tc>
      </w:tr>
      <w:tr>
        <w:tc>
          <w:p/>
          <w:p>
            <w:pPr>
              <w:spacing w:after="0" w:before="0" w:lineRule="auto" w:line="276"/>
              <w:jc w:val="left"/>
            </w:pPr>
            <w:r>
              <w:rPr>
                <w:rFonts w:ascii="Times New Roman" w:hAnsi="Times New Roman" w:cs="Times New Roman" w:eastAsia="Times New Roman"/>
                <w:b w:val="false"/>
                <w:sz w:val="26"/>
              </w:rPr>
              <w:t>735/QĐ-UBND</w:t>
            </w:r>
          </w:p>
        </w:tc>
        <w:tc>
          <w:p/>
          <w:p>
            <w:pPr>
              <w:spacing w:after="0" w:before="0" w:lineRule="auto" w:line="276"/>
              <w:jc w:val="left"/>
            </w:pPr>
            <w:r>
              <w:rPr>
                <w:rFonts w:ascii="Times New Roman" w:hAnsi="Times New Roman" w:cs="Times New Roman" w:eastAsia="Times New Roman"/>
                <w:b w:val="false"/>
                <w:sz w:val="26"/>
              </w:rPr>
              <w:t>Công bố Danh mục thủ tục hành chính được sửa đổi, bổ sung thuộc thẩm quyền giải quyết của Uỷ ban nhân dân tỉnh, Sở Công Thương và UBND cấp xã trên địa bàn tỉnh Quảng Trị</w:t>
            </w:r>
          </w:p>
        </w:tc>
        <w:tc>
          <w:p/>
          <w:p>
            <w:pPr>
              <w:spacing w:after="0" w:before="0" w:lineRule="auto" w:line="276"/>
              <w:jc w:val="left"/>
            </w:pPr>
            <w:r>
              <w:rPr>
                <w:rFonts w:ascii="Times New Roman" w:hAnsi="Times New Roman" w:cs="Times New Roman" w:eastAsia="Times New Roman"/>
                <w:b w:val="false"/>
                <w:sz w:val="26"/>
              </w:rPr>
              <w:t>03-03-2026</w:t>
            </w:r>
          </w:p>
        </w:tc>
        <w:tc>
          <w:p/>
          <w:p>
            <w:pPr>
              <w:spacing w:after="0" w:before="0" w:lineRule="auto" w:line="276"/>
              <w:jc w:val="left"/>
            </w:pPr>
            <w:r>
              <w:rPr>
                <w:rFonts w:ascii="Times New Roman" w:hAnsi="Times New Roman" w:cs="Times New Roman" w:eastAsia="Times New Roman"/>
                <w:b w:val="false"/>
                <w:sz w:val="26"/>
              </w:rPr>
              <w:t>UBND tỉnh Quảng Trị</w:t>
            </w:r>
          </w:p>
        </w:tc>
      </w:tr>
      <w:tr>
        <w:tc>
          <w:p/>
          <w:p>
            <w:pPr>
              <w:spacing w:after="0" w:before="0" w:lineRule="auto" w:line="276"/>
              <w:jc w:val="left"/>
            </w:pPr>
            <w:r>
              <w:rPr>
                <w:rFonts w:ascii="Times New Roman" w:hAnsi="Times New Roman" w:cs="Times New Roman" w:eastAsia="Times New Roman"/>
                <w:b w:val="false"/>
                <w:sz w:val="26"/>
              </w:rPr>
              <w:t>1371/QĐ-UBND</w:t>
            </w:r>
          </w:p>
        </w:tc>
        <w:tc>
          <w:p/>
          <w:p>
            <w:pPr>
              <w:spacing w:after="0" w:before="0" w:lineRule="auto" w:line="276"/>
              <w:jc w:val="left"/>
            </w:pPr>
            <w:r>
              <w:rPr>
                <w:rFonts w:ascii="Times New Roman" w:hAnsi="Times New Roman" w:cs="Times New Roman" w:eastAsia="Times New Roman"/>
                <w:b w:val="false"/>
                <w:sz w:val="26"/>
              </w:rPr>
              <w:t>QĐ Công bố Danh mục thủ tục hành chính mới ban hành và được sửa đổi, bổ sung thuộc thẩm quyền giải quyết của Sở Công Thương và UBND cấp xã trên địa bàn tỉnh Quảng Trị</w:t>
            </w:r>
          </w:p>
        </w:tc>
        <w:tc>
          <w:p/>
          <w:p>
            <w:pPr>
              <w:spacing w:after="0" w:before="0" w:lineRule="auto" w:line="276"/>
              <w:jc w:val="left"/>
            </w:pPr>
            <w:r>
              <w:rPr>
                <w:rFonts w:ascii="Times New Roman" w:hAnsi="Times New Roman" w:cs="Times New Roman" w:eastAsia="Times New Roman"/>
                <w:b w:val="false"/>
                <w:sz w:val="26"/>
              </w:rPr>
              <w:t>10-04-2026</w:t>
            </w:r>
          </w:p>
        </w:tc>
        <w:tc>
          <w:p/>
          <w:p>
            <w:pPr>
              <w:spacing w:after="0" w:before="0" w:lineRule="auto" w:line="276"/>
              <w:jc w:val="left"/>
            </w:pPr>
            <w:r>
              <w:rPr>
                <w:rFonts w:ascii="Times New Roman" w:hAnsi="Times New Roman" w:cs="Times New Roman" w:eastAsia="Times New Roman"/>
                <w:b w:val="false"/>
                <w:sz w:val="26"/>
              </w:rPr>
              <w:t>UBND tỉnh Quảng Trị</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Giấy phép Bị mất, bị tiêu hủy toàn bộ hoặc một phần, bị rách, nát hoặc bị cháy.</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2026-05-02T11:25:30Z</dcterms:created>
  <dc:creator>Apache POI</dc:creator>
</cp:coreProperties>
</file>