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2.000181.H50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lập 02 bộ hồ sơ theo quy định tại Điều 27 của Nghị định số 67/2013/NĐ-CP, 01 bộ gửi Ủy ban nhân dân cấp xã nơi đặt trụ sở chính, thương nhân lưu 01 bộ. 
- Trong thời hạn 15 ngày làm việc kể từ khi nhận đủ hồ sơ hợp lệ, Ủy ban nhân dân cấp xã có trách nhiệm xem xét, kiểm tra, thẩm định và cấp Giấy phép bán lẻ sản phẩm thuốc lá cho thương nhân. Trường hợp từ chối cấp phải trả lời bằng văn bản và nêu rõ lý do;
- Trường hợp chưa đủ hồ sơ hợp lệ, trong vòng 07 ngày làm việc kể từ ngày tiếp nhận hồ sơ của thương nhân, Ủy ban nhân dân cấp xã có văn bản yêu cầu thương nhân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 Từ ngày 01/7/2025 đến hết ngày 31/12/2026: thực hiện theo biểu thu phí tại khoản 1 Điều 1 Thông tư số 64/2025/TT-BTC ngày 30/6/2025 của Bộ trưởng Bộ Tài chính:  -  Phí thẩm định: 100.000 đồng/điểm kinh doanh/lần thẩm định * Sau ngày 31/12/2026: thực hiện theo khoản 2 Điều 4 Thông tư số 168/2016/TT-BTC ngày 26/10/2016 và Thông tư số 71/2025/TT-BTC ngày 01/7/2025 của Bộ trưởng Bộ Tài chính:  - Phí thẩm định: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15 ngày làm việc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 Từ ngày 01/7/2025 đến hết ngày 31/12/2026: thực hiện theo biểu thu phí tại khoản 1 Điều 1 Thông tư số 64/2025/TT-BTC ngày 30/6/2025 của Bộ trưởng Bộ Tài chính:  -  Phí thẩm định: 100.000 đồng/điểm kinh doanh/lần thẩm định * Sau ngày 31/12/2026: thực hiện theo khoản 2 Điều 4 Thông tư số 168/2016/TT-BTC ngày 26/10/2016 và Thông tư số 71/2025/TT-BTC ngày 01/7/2025 của Bộ trưởng Bộ Tài chính:  - Phí thẩm định: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15 ngày làm việc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 Từ ngày 01/7/2025 đến hết ngày 31/12/2026: thực hiện theo biểu thu phí tại khoản 1 Điều 1 Thông tư số 64/2025/TT-BTC ngày 30/6/2025 của Bộ trưởng Bộ Tài chính:  -  Phí thẩm định: 100.000 đồng/điểm kinh doanh/lần thẩm định * Sau ngày 31/12/2026: thực hiện theo khoản 2 Điều 4 Thông tư số 168/2016/TT-BTC ngày 26/10/2016 và Thông tư số 71/2025/TT-BTC ngày 01/7/2025 của Bộ trưởng Bộ Tài chính:  - Phí thẩm định: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15 ngày làm việc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bán lẻ sản phẩm thuốc lá.</w:t>
            </w:r>
          </w:p>
        </w:tc>
        <w:tc>
          <w:p/>
          <w:p>
            <w:pPr>
              <w:spacing w:after="0" w:before="0" w:lineRule="auto" w:line="276"/>
              <w:jc w:val="left"/>
            </w:pPr>
            <w:r>
              <w:rPr>
                <w:rFonts w:ascii="Times New Roman" w:hAnsi="Times New Roman" w:cs="Times New Roman" w:eastAsia="Times New Roman"/>
                <w:b w:val="false"/>
                <w:sz w:val="26"/>
              </w:rPr>
              <w:t>ThuocLaBanLeDOn.docx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hoặc Giấy chứng nhận đăng ký kinh doanh và Giấy chứng nhận mã số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các văn bản giới thiệu của các thương nhân phân phối hoặc thương nhân bán buôn sản phẩm thuốc lá ghi rõ địa bàn dự kiến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02 bộ, trong đó 01 bộ gửi cơ quan có thẩm quyền cấp phép, 01 bộ lưu tại doanh nghiệp hoặc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21/2013/TT-BCT</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25-09-2013</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 xml:space="preserve">Nghị định số 106/2017/NĐ-CP </w:t>
            </w:r>
          </w:p>
        </w:tc>
        <w:tc>
          <w:p/>
          <w:p>
            <w:pPr>
              <w:spacing w:after="0" w:before="0" w:lineRule="auto" w:line="276"/>
              <w:jc w:val="left"/>
            </w:pPr>
            <w:r>
              <w:rPr>
                <w:rFonts w:ascii="Times New Roman" w:hAnsi="Times New Roman" w:cs="Times New Roman" w:eastAsia="Times New Roman"/>
                <w:b w:val="false"/>
                <w:sz w:val="26"/>
              </w:rPr>
              <w:t>bổ sung, sửa đổi một số điều của Nghị định số 67/2013/NĐ-CP ngày 27/9/2013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14-09-2017</w:t>
            </w:r>
          </w:p>
        </w:tc>
        <w:tc>
          <w:p/>
        </w:tc>
      </w:tr>
      <w:tr>
        <w:tc>
          <w:p/>
          <w:p>
            <w:pPr>
              <w:spacing w:after="0" w:before="0" w:lineRule="auto" w:line="276"/>
              <w:jc w:val="left"/>
            </w:pPr>
            <w:r>
              <w:rPr>
                <w:rFonts w:ascii="Times New Roman" w:hAnsi="Times New Roman" w:cs="Times New Roman" w:eastAsia="Times New Roman"/>
                <w:b w:val="false"/>
                <w:sz w:val="26"/>
              </w:rPr>
              <w:t xml:space="preserve">Thông tư số 168/2016/TT-BTC </w:t>
            </w:r>
          </w:p>
        </w:tc>
        <w:tc>
          <w:p/>
          <w:p>
            <w:pPr>
              <w:spacing w:after="0" w:before="0" w:lineRule="auto" w:line="276"/>
              <w:jc w:val="left"/>
            </w:pPr>
            <w:r>
              <w:rPr>
                <w:rFonts w:ascii="Times New Roman" w:hAnsi="Times New Roman" w:cs="Times New Roman" w:eastAsia="Times New Roman"/>
                <w:b w:val="false"/>
                <w:sz w:val="26"/>
              </w:rPr>
              <w:t>quản lý và sử dụng phí thẩm định kinh doanh hàng hoá, dịch vụ hạn chế kinh doanh; hàng hoá, dịch vụ kinh doanh có điều kiện thuộc lĩnh vực thương mại và lệ phí cấp Giấy phép thành lập Sở Giao dịch hàng hoá.</w:t>
            </w:r>
          </w:p>
        </w:tc>
        <w:tc>
          <w:p/>
          <w:p>
            <w:pPr>
              <w:spacing w:after="0" w:before="0" w:lineRule="auto" w:line="276"/>
              <w:jc w:val="left"/>
            </w:pPr>
            <w:r>
              <w:rPr>
                <w:rFonts w:ascii="Times New Roman" w:hAnsi="Times New Roman" w:cs="Times New Roman" w:eastAsia="Times New Roman"/>
                <w:b w:val="false"/>
                <w:sz w:val="26"/>
              </w:rPr>
              <w:t>26-10-2016</w:t>
            </w:r>
          </w:p>
        </w:tc>
        <w:tc>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57/2018/TT-BCT ngày 26 tháng 12 năm 2018 của Bộ trưởng Bộ Công Thương quy định chi tiết một số điều của các Nghị định liên quan đến kinh doanh thuốc lá</w:t>
            </w:r>
          </w:p>
        </w:tc>
        <w:tc>
          <w:p/>
          <w:p>
            <w:pPr>
              <w:spacing w:after="0" w:before="0" w:lineRule="auto" w:line="276"/>
              <w:jc w:val="left"/>
            </w:pPr>
            <w:r>
              <w:rPr>
                <w:rFonts w:ascii="Times New Roman" w:hAnsi="Times New Roman" w:cs="Times New Roman" w:eastAsia="Times New Roman"/>
                <w:b w:val="false"/>
                <w:sz w:val="26"/>
              </w:rPr>
              <w:t>15-11-2019</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1288/QĐ-UBND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các lĩnh vực Kinh doanh khí, Lưu thông hàng hóa trong nước, Tài sản kết cấu hạ tầng chợ do nhà nước đầu tư quản lý, An toàn đập, hồ chứa thủy điện, Công nghiệp địa phương, Công nghiệp tiêu dùng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03-09-2025</w:t>
            </w:r>
          </w:p>
        </w:tc>
        <w:tc>
          <w:p/>
        </w:tc>
      </w:tr>
      <w:tr>
        <w:tc>
          <w:p/>
          <w:p>
            <w:pPr>
              <w:spacing w:after="0" w:before="0" w:lineRule="auto" w:line="276"/>
              <w:jc w:val="left"/>
            </w:pPr>
            <w:r>
              <w:rPr>
                <w:rFonts w:ascii="Times New Roman" w:hAnsi="Times New Roman" w:cs="Times New Roman" w:eastAsia="Times New Roman"/>
                <w:b w:val="false"/>
                <w:sz w:val="26"/>
              </w:rPr>
              <w:t>735/QĐ-UBND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thuộc thẩm quyền giải quyết của Uỷ ban nhân dân tỉnh, Sở Công Thương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1371/QĐ-UBND</w:t>
            </w:r>
          </w:p>
        </w:tc>
        <w:tc>
          <w:p/>
          <w:p>
            <w:pPr>
              <w:spacing w:after="0" w:before="0" w:lineRule="auto" w:line="276"/>
              <w:jc w:val="left"/>
            </w:pPr>
            <w:r>
              <w:rPr>
                <w:rFonts w:ascii="Times New Roman" w:hAnsi="Times New Roman" w:cs="Times New Roman" w:eastAsia="Times New Roman"/>
                <w:b w:val="false"/>
                <w:sz w:val="26"/>
              </w:rPr>
              <w:t>QĐ Công bố Danh mục thủ tục hành chính mới ban hành và được sửa đổi, bổ sung thuộc thẩm quyền giải quyết của Sở Công Thương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10-04-2026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Thương nhân được thành lập theo quy định của pháp luật;
b) Địa điểm kinh doanh không vi phạm quy định về địa điểm không được bán thuốc lá theo quy định tại Khoản 2 Điều 25 (Bán thuốc lá) Luật Phòng, chống tác hại của thuốc lá năm 2012 ;
c) Có văn bản giới thiệu của các thương nhân phân phối hoặc thương nhân bán buôn sản phẩm thuốc lá ghi rõ địa bàn dự kiến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2026-05-04T09:42:27Z</dcterms:created>
  <dc:creator>Apache POI</dc:creator>
</cp:coreProperties>
</file>