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2.000615.H50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1288/QĐ-UBND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sửa đổi, bổ sung Giấy phép bán lẻ rượu</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Lưu thông hàng hóa trong nước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Thương nhân nộp Cấp sửa đổi, bổ sung Giấy phép bán lẻ rượu đến cơ quan có thẩm quyền cấp giấy phép tại Bộ phận tiếp nhận hồ sơ và trả kết quả của Xã tại Trung tâm Phục vụ hành chính công xã hoặc qua dịch vụ bưu chính công ích.
- Thời gian tiếp nhận hồ sơ, trả kết quả: Buổi sáng từ 8h-11h, buổi chiều từ 13h30-16h30 các ngày từ thứ 2 đến thứ 6, trừ các ngày nghỉ, lễ, tết.
Bước 2:
- Trường hợp có thay đổi các nội dung của giấy phép, thương nhân phải nộp 01 bộ hồ sơ trực tiếp hoặc qua đường bưu điện hoặc trực tuyến (nếu đủ điều kiện áp dụng) đến Ủy ban nhân dân cấp xã nơi thương nhân đặt trụ sở chính.
- Trong thời hạn 07 ngày làm việc kể từ ngày nhận đủ hồ sơ hợp lệ, Ủy ban nhân dân cấp xã xem xét và cấp sửa đổi, bổ sung giấy phép theo Mẫu số 06 ban hành kèm theo Nghị định số 105/2017/NĐ-CP. Trường hợp từ chối cấp sửa đổi, bổ sung phải trả lời bằng văn bản và nêu rõ lý do.
- Trường hợp chưa đủ hồ sơ hợp lệ, trong vòng 03 ngày làm việc kể từ ngày tiếp nhận hồ sơ, Ủy ban nhân dân cấp xã sửa đổi, bổ sung giấy phép phải có văn bản yêu cầu bổ sung.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t xml:space="preserve">Phí : Đối với chủ thể kinh doanh là hộ kinh doanh, cá nhân: 200.000 đồng/điểm kinh doanh/lần thẩm định. </w:t>
            </w:r>
          </w:p>
          <w:p>
            <w:pPr>
              <w:spacing w:after="0" w:before="0" w:lineRule="auto" w:line="276"/>
              <w:jc w:val="left"/>
            </w:pPr>
            <w:r>
              <w:rPr>
                <w:rFonts w:ascii="Times New Roman" w:hAnsi="Times New Roman" w:cs="Times New Roman" w:eastAsia="Times New Roman"/>
                <w:b w:val="false"/>
                <w:sz w:val="26"/>
              </w:rPr>
              <w:t xml:space="preserve">Phí : - Đối với chủ thể kinh doanh là tổ chức, doanh nghiệp: 600.000 đồng/điểm kinh doanh/lần thẩm định. </w:t>
            </w:r>
          </w:p>
        </w:tc>
        <w:tc>
          <w:p/>
          <w:p>
            <w:pPr>
              <w:spacing w:after="0" w:before="0" w:lineRule="auto" w:line="276"/>
              <w:jc w:val="left"/>
            </w:pPr>
            <w:r>
              <w:rPr>
                <w:rFonts w:ascii="Times New Roman" w:hAnsi="Times New Roman" w:cs="Times New Roman" w:eastAsia="Times New Roman"/>
                <w:b w:val="false"/>
                <w:sz w:val="26"/>
              </w:rPr>
              <w:t>Trong thời hạn 07 ngày làm việc kể từ ngày nhận đủ hồ sơ hợp lệ của thương nhân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t xml:space="preserve">Phí : Đối với chủ thể kinh doanh là tổ chức, doanh nghiệp: 600.000 đồng/điểm kinh doanh/lần thẩm định. </w:t>
            </w:r>
          </w:p>
          <w:p>
            <w:pPr>
              <w:spacing w:after="0" w:before="0" w:lineRule="auto" w:line="276"/>
              <w:jc w:val="left"/>
            </w:pPr>
            <w:r>
              <w:rPr>
                <w:rFonts w:ascii="Times New Roman" w:hAnsi="Times New Roman" w:cs="Times New Roman" w:eastAsia="Times New Roman"/>
                <w:b w:val="false"/>
                <w:sz w:val="26"/>
              </w:rPr>
              <w:t xml:space="preserve">Phí : Đối với chủ thể kinh doanh là hộ kinh doanh, cá nhân: 200.000 đồng/điểm kinh doanh/lần thẩm định. </w:t>
            </w:r>
          </w:p>
        </w:tc>
        <w:tc>
          <w:p/>
          <w:p>
            <w:pPr>
              <w:spacing w:after="0" w:before="0" w:lineRule="auto" w:line="276"/>
              <w:jc w:val="left"/>
            </w:pPr>
            <w:r>
              <w:rPr>
                <w:rFonts w:ascii="Times New Roman" w:hAnsi="Times New Roman" w:cs="Times New Roman" w:eastAsia="Times New Roman"/>
                <w:b w:val="false"/>
                <w:sz w:val="26"/>
              </w:rPr>
              <w:t>Trong thời hạn 07 ngày làm việc kể từ ngày nhận đủ hồ sơ hợp lệ của thương nhân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t xml:space="preserve">Phí : Đối với chủ thể kinh doanh là tổ chức, doanh nghiệp: 600.000 đồng/điểm kinh doanh/lần thẩm định. </w:t>
            </w:r>
          </w:p>
          <w:p>
            <w:pPr>
              <w:spacing w:after="0" w:before="0" w:lineRule="auto" w:line="276"/>
              <w:jc w:val="left"/>
            </w:pPr>
            <w:r>
              <w:rPr>
                <w:rFonts w:ascii="Times New Roman" w:hAnsi="Times New Roman" w:cs="Times New Roman" w:eastAsia="Times New Roman"/>
                <w:b w:val="false"/>
                <w:sz w:val="26"/>
              </w:rPr>
              <w:t xml:space="preserve">Phí : Đối với chủ thể kinh doanh là hộ kinh doanh, cá nhân: 200.000 đồng/điểm kinh doanh/lần thẩm định. </w:t>
            </w:r>
          </w:p>
        </w:tc>
        <w:tc>
          <w:p/>
          <w:p>
            <w:pPr>
              <w:spacing w:after="0" w:before="0" w:lineRule="auto" w:line="276"/>
              <w:jc w:val="left"/>
            </w:pPr>
            <w:r>
              <w:rPr>
                <w:rFonts w:ascii="Times New Roman" w:hAnsi="Times New Roman" w:cs="Times New Roman" w:eastAsia="Times New Roman"/>
                <w:b w:val="false"/>
                <w:sz w:val="26"/>
              </w:rPr>
              <w:t>Trong thời hạn 07 ngày làm việc kể từ ngày nhận đủ hồ sơ hợp lệ của thương nhân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sao giấy phép đã được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Các tài liệu chứng minh nhu cầu sửa đổi, bổ sung.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Đơn đề nghị cấp sửa đổi, bổ sung theo Mẫu số 02 ban hành kèm theo Nghị định số 105/2017/NĐ-CP</w:t>
            </w:r>
          </w:p>
        </w:tc>
        <w:tc>
          <w:p/>
          <w:p>
            <w:pPr>
              <w:spacing w:after="0" w:before="0" w:lineRule="auto" w:line="276"/>
              <w:jc w:val="left"/>
            </w:pPr>
            <w:r>
              <w:rPr>
                <w:rFonts w:ascii="Times New Roman" w:hAnsi="Times New Roman" w:cs="Times New Roman" w:eastAsia="Times New Roman"/>
                <w:b w:val="false"/>
                <w:sz w:val="26"/>
              </w:rPr>
              <w:t>ruou02.docx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bán lẻ rượu (cấp sửa đổi, bổ sung)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Nghị định 105/2017/NĐ-CP</w:t>
            </w:r>
          </w:p>
        </w:tc>
        <w:tc>
          <w:p/>
          <w:p>
            <w:pPr>
              <w:spacing w:after="0" w:before="0" w:lineRule="auto" w:line="276"/>
              <w:jc w:val="left"/>
            </w:pPr>
            <w:r>
              <w:rPr>
                <w:rFonts w:ascii="Times New Roman" w:hAnsi="Times New Roman" w:cs="Times New Roman" w:eastAsia="Times New Roman"/>
                <w:b w:val="false"/>
                <w:sz w:val="26"/>
              </w:rPr>
              <w:t>Về kinh doanh rượu</w:t>
            </w:r>
          </w:p>
        </w:tc>
        <w:tc>
          <w:p/>
          <w:p>
            <w:pPr>
              <w:spacing w:after="0" w:before="0" w:lineRule="auto" w:line="276"/>
              <w:jc w:val="left"/>
            </w:pPr>
            <w:r>
              <w:rPr>
                <w:rFonts w:ascii="Times New Roman" w:hAnsi="Times New Roman" w:cs="Times New Roman" w:eastAsia="Times New Roman"/>
                <w:b w:val="false"/>
                <w:sz w:val="26"/>
              </w:rPr>
              <w:t>14-09-2017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Thông tư số 168/2016/TT-BTC </w:t>
            </w:r>
          </w:p>
        </w:tc>
        <w:tc>
          <w:p/>
          <w:p>
            <w:pPr>
              <w:spacing w:after="0" w:before="0" w:lineRule="auto" w:line="276"/>
              <w:jc w:val="left"/>
            </w:pPr>
            <w:r>
              <w:rPr>
                <w:rFonts w:ascii="Times New Roman" w:hAnsi="Times New Roman" w:cs="Times New Roman" w:eastAsia="Times New Roman"/>
                <w:b w:val="false"/>
                <w:sz w:val="26"/>
              </w:rPr>
              <w:t>quản lý và sử dụng phí thẩm định kinh doanh hàng hoá, dịch vụ hạn chế kinh doanh; hàng hoá, dịch vụ kinh doanh có điều kiện thuộc lĩnh vực thương mại và lệ phí cấp Giấy phép thành lập Sở Giao dịch hàng hoá.</w:t>
            </w:r>
          </w:p>
        </w:tc>
        <w:tc>
          <w:p/>
          <w:p>
            <w:pPr>
              <w:spacing w:after="0" w:before="0" w:lineRule="auto" w:line="276"/>
              <w:jc w:val="left"/>
            </w:pPr>
            <w:r>
              <w:rPr>
                <w:rFonts w:ascii="Times New Roman" w:hAnsi="Times New Roman" w:cs="Times New Roman" w:eastAsia="Times New Roman"/>
                <w:b w:val="false"/>
                <w:sz w:val="26"/>
              </w:rPr>
              <w:t>26-10-2016</w:t>
            </w:r>
          </w:p>
        </w:tc>
        <w:tc>
          <w:p/>
        </w:tc>
      </w:tr>
      <w:tr>
        <w:tc>
          <w:p/>
          <w:p>
            <w:pPr>
              <w:spacing w:after="0" w:before="0" w:lineRule="auto" w:line="276"/>
              <w:jc w:val="left"/>
            </w:pPr>
            <w:r>
              <w:rPr>
                <w:rFonts w:ascii="Times New Roman" w:hAnsi="Times New Roman" w:cs="Times New Roman" w:eastAsia="Times New Roman"/>
                <w:b w:val="false"/>
                <w:sz w:val="26"/>
              </w:rPr>
              <w:t>17/2020/NĐ-CP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các Nghị định liên quan đến điều kiện đầu tư kinh doanh thuộc lĩnh vực quản lý nhà nước của Bộ Công Thương</w:t>
            </w:r>
          </w:p>
        </w:tc>
        <w:tc>
          <w:p/>
          <w:p>
            <w:pPr>
              <w:spacing w:after="0" w:before="0" w:lineRule="auto" w:line="276"/>
              <w:jc w:val="left"/>
            </w:pPr>
            <w:r>
              <w:rPr>
                <w:rFonts w:ascii="Times New Roman" w:hAnsi="Times New Roman" w:cs="Times New Roman" w:eastAsia="Times New Roman"/>
                <w:b w:val="false"/>
                <w:sz w:val="26"/>
              </w:rPr>
              <w:t>05-02-2020</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139/2025/NĐ-CP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Công Thương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1288/QĐ-UBND</w:t>
            </w:r>
          </w:p>
        </w:tc>
        <w:tc>
          <w:p/>
          <w:p>
            <w:pPr>
              <w:spacing w:after="0" w:before="0" w:lineRule="auto" w:line="276"/>
              <w:jc w:val="left"/>
            </w:pPr>
            <w:r>
              <w:rPr>
                <w:rFonts w:ascii="Times New Roman" w:hAnsi="Times New Roman" w:cs="Times New Roman" w:eastAsia="Times New Roman"/>
                <w:b w:val="false"/>
                <w:sz w:val="26"/>
              </w:rPr>
              <w:t>Quyết định Công bố Danh mục thủ tục hành chính được sửa đổi, bổ sung trong các lĩnh vực Kinh doanh khí, Lưu thông hàng hóa trong nước, Tài sản kết cấu hạ tầng chợ do nhà nước đầu tư quản lý, An toàn đập, hồ chứa thủy điện, Công nghiệp địa phương, Công nghiệp tiêu dùng thuộc thẩm quyền giải quyết của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03-09-2025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Là doanh nghiệp, hợp tác xã, liên hiệp hợp tác xã hoặc hộ kinh doanh được thành lập theo quy định của pháp luật 
b) Có quyền sử dụng hợp pháp địa điểm kinh doanh cố định, địa chỉ rõ ràng. 
c) Có văn bản giới thiệu hoặc hợp đồng nguyên tắc của thương nhân sản xuất rượu, thương nhân phân phối rượu hoặc thương nhân bán buôn rượu.</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2026-05-02T11:51:28Z</dcterms:created>
  <dc:creator>Apache POI</dc:creator>
</cp:coreProperties>
</file>