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Cấp lại Cấp Giấy phép bán lẻ rượu đến cơ quan có thẩm quyền cấp giấy phép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Trường hợp cấp lại do hết thời hạn hiệu lực 
Thương nhân phải nộp hồ sơ đề nghị cấp lại giấy phép đến Ủy ban nhân dân cấp xã nơi thương nhân đặt trụ sở chính trước thời hạn hết hiệu lực của giấy phép 30 ngày. Hồ sơ, thẩm quyền, thủ tục cấp lại đối với quy định tại khoản này áp dụng như quy định đối với trường hợp cấp mới.
* Trường hợp cấp lại giấy phép do bị mất hoặc bị hỏng 
- Thương nhân nộp hồ sơ trực tiếp hoặc qua đường bưu điện hoặc trực tuyến (nếu đủ điều kiện áp dụng) đến Ủy ban nhân dân cấp xã nơi thương nhân đặt trụ sở chính. 
- Trong thời hạn 07 ngày làm việc kể từ ngày nhận đủ hồ sơ hợp lệ, Ủy ban nhân dân cấp xã căn cứ vào hồ sơ đã lưu và hồ sơ đề nghị cấp lại của thương nhân  để xem xét và cấp lại giấy phép theo Mẫu số 07 ban hành kèm theo Nghị định số 105/2017/NĐ-CP. Thời hạn của giấy phép được giữ nguyên như cũ.
- Trường hợp chưa đủ hồ sơ hợp lệ, trong vòng 03 ngày làm việc kể từ ngày tiếp nhận hồ sơ, Ủy ban nhân dân cấp xã phải có văn bản yêu cầu bổ sung. Trường hợp từ chối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Đối với chủ thể kinh doanh là tổ chức, doanh nghiệp: 600.000 đồng/điểm kinh doanh/lần thẩm định. </w:t>
            </w:r>
          </w:p>
          <w:p>
            <w:pPr>
              <w:spacing w:after="0" w:before="0" w:lineRule="auto" w:line="276"/>
              <w:jc w:val="left"/>
            </w:pPr>
            <w:r>
              <w:rPr>
                <w:rFonts w:ascii="Times New Roman" w:hAnsi="Times New Roman" w:cs="Times New Roman" w:eastAsia="Times New Roman"/>
                <w:b w:val="false"/>
                <w:sz w:val="26"/>
              </w:rPr>
              <w:t xml:space="preserve">Phí : Đối với chủ thể kinh doanh là hộ kinh doanh, cá nhân: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được thực hiện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168/2016/TT-BTC </w:t>
            </w:r>
          </w:p>
        </w:tc>
        <w:tc>
          <w:p/>
          <w:p>
            <w:pPr>
              <w:spacing w:after="0" w:before="0" w:lineRule="auto" w:line="276"/>
              <w:jc w:val="left"/>
            </w:pPr>
            <w:r>
              <w:rPr>
                <w:rFonts w:ascii="Times New Roman" w:hAnsi="Times New Roman" w:cs="Times New Roman" w:eastAsia="Times New Roman"/>
                <w:b w:val="false"/>
                <w:sz w:val="26"/>
              </w:rPr>
              <w:t>quản lý và sử dụng phí thẩm định kinh doanh hàng hoá, dịch vụ hạn chế kinh doanh; hàng hoá, dịch vụ kinh doanh có điều kiện thuộc lĩnh vực thương mại và lệ phí cấp Giấy phép thành lập Sở Giao dịch hàng hoá.</w:t>
            </w:r>
          </w:p>
        </w:tc>
        <w:tc>
          <w:p/>
          <w:p>
            <w:pPr>
              <w:spacing w:after="0" w:before="0" w:lineRule="auto" w:line="276"/>
              <w:jc w:val="left"/>
            </w:pPr>
            <w:r>
              <w:rPr>
                <w:rFonts w:ascii="Times New Roman" w:hAnsi="Times New Roman" w:cs="Times New Roman" w:eastAsia="Times New Roman"/>
                <w:b w:val="false"/>
                <w:sz w:val="26"/>
              </w:rPr>
              <w:t>26-10-2016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2026-05-02T11:28:18Z</dcterms:created>
  <dc:creator>Apache POI</dc:creator>
</cp:coreProperties>
</file>