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đủ điều kiện quy định tại Điều 9 Nghị định số 105/2017/NĐ-CP nộp hồ sơ trực tiếp hoặc qua đường bưu điện hoặc trực tuyến (nếu đủ điều kiện áp dụng) đến cơ quan có thẩm quyền cấp giấy phép (Ủy ban nhân dân cấp xã nơi thương nhân đặt cơ sở sản xuất);
- Trong thời hạn 10 ngày làm việc kể từ ngày nhận đủ hồ sơ hợp lệ, cơ quan nhà nước có thẩm quyền xem xét, thẩm định và cấp giấy phép cho thương nhân. Trường hợp từ chối cấp phải trả lời bằng văn bản và nêu rõ lý do.
- Trường hợp chưa đủ hồ sơ hợp lệ, trong vòng 03 ngày làm việc kể từ ngày tiếp nhận hồ sơ, cơ quan cấp giấy phép phải có văn bản yêu cầu bổ sung.
- Giấy phép sản xuất rượu thủ công nhằm mục đích kinh doanh có thời hạn 05 năm kể từ ngày cấp.
- Giấy phép được làm thành 04 bản: 02 bản lưu tại cơ quan cấp phép, 01 bản gửi cơ sở được cấp giấy phép, 01 bản gửi Sở Công Thương.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1.100.000 đồng/lần thẩm định/hồ sơ </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1.100.000 đồng/lần thẩm định/hồ sơ </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1.100.000 đồng/lần thẩm định/hồ sơ </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sản xuất rượu thủ công nhằm mục đích kinh doanh theo Mẫu số 01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RTC01.docx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Bản công bố sản phẩm rượu hoặc bản sao Giấy tiếp nhận bản công bố hợp quy hoặc Giấy xác nhận công bố phù hợp quy định an toàn thực phẩm (đối với rượu chưa có quy chuẩn kỹ thuật); bản sao Giấy chứng nhận cơ sở đủ điều kiện an toàn thực phẩm, trừ trường hợp đối với cơ sở thuộc loại kinh doanh thực phẩm nhỏ lẻ theo quy định của pháp luật về an toàn thực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liệt kê tên hàng hóa rượu kèm theo bản sao nhãn hàng hóa rượu mà tổ chức, cá nhân sản xuất hoặc dự kiến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hợp tác xã, liên hiệp hợp tác xã hoặc hộ kinh doanh.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299/2016/TT-BTC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điều kiện kinh doanh để cấp giấy phép sản xuất rượu, giấy phép sản xuất thuốc lá</w:t>
            </w:r>
          </w:p>
        </w:tc>
        <w:tc>
          <w:p/>
          <w:p>
            <w:pPr>
              <w:spacing w:after="0" w:before="0" w:lineRule="auto" w:line="276"/>
              <w:jc w:val="left"/>
            </w:pPr>
            <w:r>
              <w:rPr>
                <w:rFonts w:ascii="Times New Roman" w:hAnsi="Times New Roman" w:cs="Times New Roman" w:eastAsia="Times New Roman"/>
                <w:b w:val="false"/>
                <w:sz w:val="26"/>
              </w:rPr>
              <w:t>15-11-2016</w:t>
            </w:r>
          </w:p>
        </w:tc>
        <w:tc>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1288/QĐ-UBND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các lĩnh vực Kinh doanh khí, Lưu thông hàng hóa trong nước, Tài sản kết cấu hạ tầng chợ do nhà nước đầu tư quản lý, An toàn đập, hồ chứa thủy điện, Công nghiệp địa phương, Công nghiệp tiêu dùng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03-09-2025</w:t>
            </w:r>
          </w:p>
        </w:tc>
        <w:tc>
          <w:p/>
        </w:tc>
      </w:tr>
      <w:tr>
        <w:tc>
          <w:p/>
          <w:p>
            <w:pPr>
              <w:spacing w:after="0" w:before="0" w:lineRule="auto" w:line="276"/>
              <w:jc w:val="left"/>
            </w:pPr>
            <w:r>
              <w:rPr>
                <w:rFonts w:ascii="Times New Roman" w:hAnsi="Times New Roman" w:cs="Times New Roman" w:eastAsia="Times New Roman"/>
                <w:b w:val="false"/>
                <w:sz w:val="26"/>
              </w:rPr>
              <w:t>2529/QĐ-UBND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hoặc bị bãi bỏ trong các lĩnh vực thuộc thẩm quyền giải quyết của UBND tỉnh, Sở Công Thương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10-11-2025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735/QĐ-UBND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thuộc thẩm quyền giải quyết của Uỷ ban nhân dân tỉnh, Sở Công Thương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03-03-2026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đáp ứng được các điều kiện theo quy định tại Điều 9 Nghị định số 105/2017/NĐ-CP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2026-05-02T10:22:06Z</dcterms:created>
  <dc:creator>Apache POI</dc:creator>
</cp:coreProperties>
</file>