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2.002096.H50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sản phẩm công nghiệp nông thôn tiêu biểu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nghiệp địa phương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Thương nhân nộp Cấp Giấy chứng nhận sản phẩm công nghiệp nông thôn tiêu biểu cấp xã đến cơ quan có thẩm quyền cấp giấy phép tại Bộ phận tiếp nhận hồ sơ và trả kết quả của Xã tại Trung tâm Phục vụ hành chính công xã hoặc qua dịch vụ bưu chính công ích.
- Thời gian tiếp nhận hồ sơ, trả kết quả: Buổi sáng từ 8h-11h, buổi chiều từ 13h30-16h30 các ngày từ thứ 2 đến thứ 6, trừ các ngày nghỉ, lễ, tết.
Bước 2:
- Cơ sở CNNT nộp (02) bộ hồ sơ (kèm theo bản điện tử) cho UBND cấp xã (sau khi nhận được thông tin về Kế hoạch tổ chức bình chọn sản phẩm công nghiệp nông thôn tiêu biểu cấp xã được cấp có thẩm quyền phê duyệt phê duyệt)
-  Ủy ban nhân dân cấp xã tiếp nhận hồ sơ đề nghị đăng ký tham gia bình chọn sản phẩm công nghiệp nông thôn tiêu biểu cấp xã từ các cơ sở công nghiệp nông thôn;
- Sau khi nhận đủ hồ sơ hợp lệ, Ủy ban nhân dân cấp xã có trách nhiệm xem xét, chấm điểm bình chọn các sản phẩm đáp ứng đủ điều kiện theo quy định để cấp Giấy chứng nhận.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Kế hoạch tổ chức bình chọn sản phẩm công nghiệp nông thôn tiêu biểu cấp xã được cấp có thẩm quyền phê duyệt theo từng kỳ bình chọn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Kế hoạch tổ chức bình chọn sản phẩm công nghiệp nông thôn tiêu biểu cấp xã được cấp có thẩm quyền phê duyệt theo từng kỳ bình chọn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Phiếu đăng ký tham gia bình chọn (Phụ lục số 1 kèm theo Thông tư số 14/2018/TT-BCT ngày 28 tháng 6 năm 2018 của Bộ trưởng Bộ Công Thương sửa đổi bổ sung một số điều của Thông tư số 26/2014/TT-BCT ngày 28 tháng 8 năm 2014 của Bộ trưởng Bộ Công Thương quy định về việc tổ chức bình chọn sản phẩm công nghiệp nông thôn tiêu biểu );</w:t>
            </w:r>
          </w:p>
        </w:tc>
        <w:tc>
          <w:p/>
          <w:p>
            <w:pPr>
              <w:spacing w:after="0" w:before="0" w:lineRule="auto" w:line="276"/>
              <w:jc w:val="left"/>
            </w:pPr>
            <w:r>
              <w:rPr>
                <w:rFonts w:ascii="Times New Roman" w:hAnsi="Times New Roman" w:cs="Times New Roman" w:eastAsia="Times New Roman"/>
                <w:b w:val="false"/>
                <w:sz w:val="26"/>
              </w:rPr>
              <w:t>Mus1NTTB.docx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thuyết minh sản phẩm (Phụ lục số 2 kèm theo Thông tư số 14/2018/TT-BCT ngày 28 tháng 6 năm 2018 của Bộ trưởng Bộ Công Thương sửa đổi bổ sung một số điều của Thông tư số 26/2014/TT-BCT ngày 28 tháng 8 năm 2014 của Bộ trưởng Bộ Công Thương quy định về việc tổ chức bình chọn sản phẩm công nghiệp nông thôn tiêu biểu);</w:t>
            </w:r>
          </w:p>
        </w:tc>
        <w:tc>
          <w:p/>
          <w:p>
            <w:pPr>
              <w:spacing w:after="0" w:before="0" w:lineRule="auto" w:line="276"/>
              <w:jc w:val="left"/>
            </w:pPr>
            <w:r>
              <w:rPr>
                <w:rFonts w:ascii="Times New Roman" w:hAnsi="Times New Roman" w:cs="Times New Roman" w:eastAsia="Times New Roman"/>
                <w:b w:val="false"/>
                <w:sz w:val="26"/>
              </w:rPr>
              <w:t>Mus2NTTB.docx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- 03 ảnh của sản phẩm, kích thước (10x15)cm;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liên quan (nếu có) theo quy định tại Thông tư số 26/2014/TT-BCT ngày 28 tháng 8 năm 2014 của Bộ trưởng Bộ Công Thương quy định về việc tổ chức bình chọn sản phẩm công nghiệp nông thôn tiêu biểu (được sửa đổi bởi Thông tư số 14/2018/TT-BCT ngày 28 tháng 6 năm 2018 của Bộ trưởng Bộ Công Thương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sản phẩm công nghiệp nông thôn tiêu biểu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45/2012/NĐ-CP</w:t>
            </w:r>
          </w:p>
        </w:tc>
        <w:tc>
          <w:p/>
          <w:p>
            <w:pPr>
              <w:spacing w:after="0" w:before="0" w:lineRule="auto" w:line="276"/>
              <w:jc w:val="left"/>
            </w:pPr>
            <w:r>
              <w:rPr>
                <w:rFonts w:ascii="Times New Roman" w:hAnsi="Times New Roman" w:cs="Times New Roman" w:eastAsia="Times New Roman"/>
                <w:b w:val="false"/>
                <w:sz w:val="26"/>
              </w:rPr>
              <w:t>Về khuyến công</w:t>
            </w:r>
          </w:p>
        </w:tc>
        <w:tc>
          <w:p/>
          <w:p>
            <w:pPr>
              <w:spacing w:after="0" w:before="0" w:lineRule="auto" w:line="276"/>
              <w:jc w:val="left"/>
            </w:pPr>
            <w:r>
              <w:rPr>
                <w:rFonts w:ascii="Times New Roman" w:hAnsi="Times New Roman" w:cs="Times New Roman" w:eastAsia="Times New Roman"/>
                <w:b w:val="false"/>
                <w:sz w:val="26"/>
              </w:rPr>
              <w:t>21-05-2012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26/2014/TT-BCT</w:t>
            </w:r>
          </w:p>
        </w:tc>
        <w:tc>
          <w:p/>
          <w:p>
            <w:pPr>
              <w:spacing w:after="0" w:before="0" w:lineRule="auto" w:line="276"/>
              <w:jc w:val="left"/>
            </w:pPr>
            <w:r>
              <w:rPr>
                <w:rFonts w:ascii="Times New Roman" w:hAnsi="Times New Roman" w:cs="Times New Roman" w:eastAsia="Times New Roman"/>
                <w:b w:val="false"/>
                <w:sz w:val="26"/>
              </w:rPr>
              <w:t>Quy định về việc tổ chức bình chọn sản phẩm công nghiệp nông thôn tiêu biểu</w:t>
            </w:r>
          </w:p>
        </w:tc>
        <w:tc>
          <w:p/>
          <w:p>
            <w:pPr>
              <w:spacing w:after="0" w:before="0" w:lineRule="auto" w:line="276"/>
              <w:jc w:val="left"/>
            </w:pPr>
            <w:r>
              <w:rPr>
                <w:rFonts w:ascii="Times New Roman" w:hAnsi="Times New Roman" w:cs="Times New Roman" w:eastAsia="Times New Roman"/>
                <w:b w:val="false"/>
                <w:sz w:val="26"/>
              </w:rPr>
              <w:t>28-08-2014</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46/2012/TT-BCT</w:t>
            </w:r>
          </w:p>
        </w:tc>
        <w:tc>
          <w:p/>
          <w:p>
            <w:pPr>
              <w:spacing w:after="0" w:before="0" w:lineRule="auto" w:line="276"/>
              <w:jc w:val="left"/>
            </w:pPr>
            <w:r>
              <w:rPr>
                <w:rFonts w:ascii="Times New Roman" w:hAnsi="Times New Roman" w:cs="Times New Roman" w:eastAsia="Times New Roman"/>
                <w:b w:val="false"/>
                <w:sz w:val="26"/>
              </w:rPr>
              <w:t>Quy định chi tiết một số nội dung của Nghị định số 45/2012/NĐ-CP ngày 21 tháng 5 năm 2012 của Chính phủ về khuyến công</w:t>
            </w:r>
          </w:p>
        </w:tc>
        <w:tc>
          <w:p/>
          <w:p>
            <w:pPr>
              <w:spacing w:after="0" w:before="0" w:lineRule="auto" w:line="276"/>
              <w:jc w:val="left"/>
            </w:pPr>
            <w:r>
              <w:rPr>
                <w:rFonts w:ascii="Times New Roman" w:hAnsi="Times New Roman" w:cs="Times New Roman" w:eastAsia="Times New Roman"/>
                <w:b w:val="false"/>
                <w:sz w:val="26"/>
              </w:rPr>
              <w:t>28-12-2012</w:t>
            </w:r>
          </w:p>
        </w:tc>
        <w:tc>
          <w:p/>
        </w:tc>
      </w:tr>
      <w:tr>
        <w:tc>
          <w:p/>
          <w:p>
            <w:pPr>
              <w:spacing w:after="0" w:before="0" w:lineRule="auto" w:line="276"/>
              <w:jc w:val="left"/>
            </w:pPr>
            <w:r>
              <w:rPr>
                <w:rFonts w:ascii="Times New Roman" w:hAnsi="Times New Roman" w:cs="Times New Roman" w:eastAsia="Times New Roman"/>
                <w:b w:val="false"/>
                <w:sz w:val="26"/>
              </w:rPr>
              <w:t>26/2014/TTLT-BTC-BCT</w:t>
            </w:r>
          </w:p>
        </w:tc>
        <w:tc>
          <w:p/>
          <w:p>
            <w:pPr>
              <w:spacing w:after="0" w:before="0" w:lineRule="auto" w:line="276"/>
              <w:jc w:val="left"/>
            </w:pPr>
            <w:r>
              <w:rPr>
                <w:rFonts w:ascii="Times New Roman" w:hAnsi="Times New Roman" w:cs="Times New Roman" w:eastAsia="Times New Roman"/>
                <w:b w:val="false"/>
                <w:sz w:val="26"/>
              </w:rPr>
              <w:t>Hướng dẫn trình tự lập, quản lý, sử dụng kinh phí khuyến công quốc gia và kinh phí khuyến công địa phương</w:t>
            </w:r>
          </w:p>
        </w:tc>
        <w:tc>
          <w:p/>
          <w:p>
            <w:pPr>
              <w:spacing w:after="0" w:before="0" w:lineRule="auto" w:line="276"/>
              <w:jc w:val="left"/>
            </w:pPr>
            <w:r>
              <w:rPr>
                <w:rFonts w:ascii="Times New Roman" w:hAnsi="Times New Roman" w:cs="Times New Roman" w:eastAsia="Times New Roman"/>
                <w:b w:val="false"/>
                <w:sz w:val="26"/>
              </w:rPr>
              <w:t>18-02-2014</w:t>
            </w:r>
          </w:p>
        </w:tc>
        <w:tc>
          <w:p/>
        </w:tc>
      </w:tr>
      <w:tr>
        <w:tc>
          <w:p/>
          <w:p>
            <w:pPr>
              <w:spacing w:after="0" w:before="0" w:lineRule="auto" w:line="276"/>
              <w:jc w:val="left"/>
            </w:pPr>
            <w:r>
              <w:rPr>
                <w:rFonts w:ascii="Times New Roman" w:hAnsi="Times New Roman" w:cs="Times New Roman" w:eastAsia="Times New Roman"/>
                <w:b w:val="false"/>
                <w:sz w:val="26"/>
              </w:rPr>
              <w:t>38/2025/TT- BCT</w:t>
            </w:r>
          </w:p>
        </w:tc>
        <w:tc>
          <w:p/>
          <w:p>
            <w:pPr>
              <w:spacing w:after="0" w:before="0" w:lineRule="auto" w:line="276"/>
              <w:jc w:val="left"/>
            </w:pPr>
            <w:r>
              <w:rPr>
                <w:rFonts w:ascii="Times New Roman" w:hAnsi="Times New Roman" w:cs="Times New Roman" w:eastAsia="Times New Roman"/>
                <w:b w:val="false"/>
                <w:sz w:val="26"/>
              </w:rPr>
              <w:t>Sửa đổi, bổ sung một số quy định về phân cấp thực hiện thủ tục hành chính trong các lĩnh vực thuộc phạm vi quản lý của Bộ Công Thương</w:t>
            </w:r>
          </w:p>
        </w:tc>
        <w:tc>
          <w:p/>
          <w:p>
            <w:pPr>
              <w:spacing w:after="0" w:before="0" w:lineRule="auto" w:line="276"/>
              <w:jc w:val="left"/>
            </w:pPr>
            <w:r>
              <w:rPr>
                <w:rFonts w:ascii="Times New Roman" w:hAnsi="Times New Roman" w:cs="Times New Roman" w:eastAsia="Times New Roman"/>
                <w:b w:val="false"/>
                <w:sz w:val="26"/>
              </w:rPr>
              <w:t>19-06-2025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1288/QĐ-UBND</w:t>
            </w:r>
          </w:p>
        </w:tc>
        <w:tc>
          <w:p/>
          <w:p>
            <w:pPr>
              <w:spacing w:after="0" w:before="0" w:lineRule="auto" w:line="276"/>
              <w:jc w:val="left"/>
            </w:pPr>
            <w:r>
              <w:rPr>
                <w:rFonts w:ascii="Times New Roman" w:hAnsi="Times New Roman" w:cs="Times New Roman" w:eastAsia="Times New Roman"/>
                <w:b w:val="false"/>
                <w:sz w:val="26"/>
              </w:rPr>
              <w:t>Quyết định Công bố Danh mục thủ tục hành chính được sửa đổi, bổ sung trong các lĩnh vực Kinh doanh khí, Lưu thông hàng hóa trong nước, Tài sản kết cấu hạ tầng chợ do nhà nước đầu tư quản lý, An toàn đập, hồ chứa thủy điện, Công nghiệp địa phương, Công nghiệp tiêu dùng thuộc thẩm quyền giải quyết của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03-09-2025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Sản phẩm đáp ứng điều kiện quy định tại Thông tư số 26/2014/TT-BCT ngày 28 tháng 8 năm 2014 của Bộ trưởng Bộ Công Thương quy định về việc tổ chức bình chọn sản phẩm công nghiệp nông thôn tiêu biểu (được sửa đổi bổ sung bởi Thông tư số 14/2018/TT-BCT ngày 28 tháng 6 năm 2018 của Bộ trưởng Bộ Công Thương);
- Cơ sở sản xuất không thuộc danh mục cấm/hạn chế theo pháp luật hiện hành.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2026-05-04T10:05:38Z</dcterms:created>
  <dc:creator>Apache POI</dc:creator>
</cp:coreProperties>
</file>