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nhận chăm sóc thay thế cho trẻ em đối với cá nhân, người đại diện gia đình nhận chăm sóc thay thế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là người thân thích của trẻ em đủ điều kiện nhận chăm sóc thay thế phải thông báo tại Trung tâm phục vụ hành chính công cấp xã nơi cư trú để ra quyết định giao, nhận chăm sóc thay thế</w:t>
      </w:r>
    </w:p>
    <w:p>
      <w:pPr>
        <w:spacing w:after="0" w:before="0" w:lineRule="auto" w:line="276"/>
        <w:jc w:val="both"/>
      </w:pPr>
      <w:r>
        <w:rPr>
          <w:rFonts w:ascii="Times New Roman" w:hAnsi="Times New Roman" w:cs="Times New Roman" w:eastAsia="Times New Roman"/>
          <w:b w:val="false"/>
          <w:sz w:val="26"/>
        </w:rPr>
        <w:t>- Ủy ban nhân dân cấp xã có trách nhiệm tiếp nhận, lập, lưu trữ danh sách cá nhân, gia đình có nguyện vọng nhận chăm sóc thay thế; hằng quý cập nhật danh sách gửi Ủy ban nhân dân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 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 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BBgiaonhnchmscthayth.docx</w:t>
            </w:r>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nhận trẻ em cho cá nhân, gia đình nhận chăm sóc thay thế của Chủ tịch Ủy ban nhân dân cấp xã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gia đình nhận chăm sóc thay thế phải bảo đảm các điều kiện sau đây:
-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2026-05-15T11:55:58Z</dcterms:created>
  <dc:creator>Apache POI</dc:creator>
</cp:coreProperties>
</file>