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1.000414.000.00.00.H18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826/QĐ-UBND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Rút tiền ký quỹ của doanh nghiệp cho thuê lại lao động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Lao động, tiền lương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Doanh nghiệp gửi 01 bộ hồ sơ theo quy định đến Bộ phận Tiếp nhận và Trả kết quả của Bộ phận Tiếp nhận và Trả kết quả Sở Nội vụ tỉnh Điện Biên (địa chỉ: Thôn Thanh Xuân, xã Thanh Hưng, huyện Điện Biên, tỉnh Điện Biên. Điện thoại: 02153.831.077) nơi doanh nghiệp đặt trụ sở chính. Sở Nội vụ tiếp nhận hồ sơ, kiểm tra và cấp giấy biên nhận ghi rõ ngày, tháng, năm nhận đủ hồ sơ.</w:t>
      </w:r>
    </w:p>
    <w:p>
      <w:pPr>
        <w:spacing w:after="0" w:before="0" w:lineRule="auto" w:line="276"/>
        <w:jc w:val="both"/>
      </w:pPr>
      <w:r>
        <w:rPr>
          <w:rFonts w:ascii="Times New Roman" w:hAnsi="Times New Roman" w:cs="Times New Roman" w:eastAsia="Times New Roman"/>
          <w:b w:val="false"/>
          <w:sz w:val="26"/>
        </w:rPr>
        <w:t>- Bước 2: Trong thời hạn 05 ngày làm việc kể từ ngày nhận đủ hồ sơ đề nghị rút tiền ký quỹ của doanh nghiệp cho thuê lại, Sở Nội vụ kiểm tra, xác thực hồ sơ đề nghị của doanh nghiệp cho thuê lại và việc hoàn thành nghĩa vụ đối với người lao động thuê lại của doanh nghiệp cho thuê lại trong trường hợp doanh nghiệp cho thuê lại bị thu hồi giấy phép hoặc không được gia hạn, cấp lại giấy phép và trình Chủ tịch Ủy ban nhân dân cấp tỉnh đồng ý để doanh nghiệp cho thuê lại rút tiền ký quỹ.</w:t>
      </w:r>
    </w:p>
    <w:p>
      <w:pPr>
        <w:spacing w:after="0" w:before="0" w:lineRule="auto" w:line="276"/>
        <w:jc w:val="both"/>
      </w:pPr>
      <w:r>
        <w:rPr>
          <w:rFonts w:ascii="Times New Roman" w:hAnsi="Times New Roman" w:cs="Times New Roman" w:eastAsia="Times New Roman"/>
          <w:b w:val="false"/>
          <w:sz w:val="26"/>
        </w:rPr>
        <w:t>- Bước 3: Trong thời hạn 05 ngày làm việc kể từ ngày nhận được hồ sơ trình của Sở Nội vụ, Chủ tịch Ủy ban nhân dân cấp tỉnh có văn bản chấp thuận rút tiền ký quỹ và phương án sử dụng tiền ký quỹ (nếu có) gửi doanh nghiệp cho thuê lại và ngân hàng nhận ký quỹ. Trường hợp không đồng ý về việc rút tiền ký quỹ thì Chủ tịch Ủy ban nhân dân cấp tỉnh có văn bản trả lời doanh nghiệp cho thuê lại trong đó nêu rõ lý do không đồng ý.</w:t>
      </w:r>
    </w:p>
    <w:p>
      <w:pPr>
        <w:spacing w:after="0" w:before="0" w:lineRule="auto" w:line="276"/>
        <w:jc w:val="both"/>
      </w:pPr>
      <w:r>
        <w:rPr>
          <w:rFonts w:ascii="Times New Roman" w:hAnsi="Times New Roman" w:cs="Times New Roman" w:eastAsia="Times New Roman"/>
          <w:b w:val="false"/>
          <w:sz w:val="26"/>
        </w:rPr>
        <w:t>- Bước 4: Sau khi có văn bản đồng ý về việc rút tiền ký quỹ của Chủ tịch Ủy ban nhân dân cấp tỉnh, doanh nghiệp cho thuê lại nộp hồ sơ theo quy định tại ngân hàng nhận ký quỹ.</w:t>
      </w:r>
    </w:p>
    <w:p>
      <w:pPr>
        <w:spacing w:after="0" w:before="0" w:lineRule="auto" w:line="276"/>
        <w:jc w:val="both"/>
      </w:pPr>
      <w:r>
        <w:rPr>
          <w:rFonts w:ascii="Times New Roman" w:hAnsi="Times New Roman" w:cs="Times New Roman" w:eastAsia="Times New Roman"/>
          <w:b w:val="false"/>
          <w:sz w:val="26"/>
        </w:rPr>
        <w:t>- Bước 5: Ngân hàng nhận ký quỹ tiếp nhận và kiểm tra hồ sơ rút tiền ký quỹ của doanh nghiệp cho thuê lại, nếu đúng quy định thì ngân hàng nhận ký quỹ cho doanh nghiệp cho thuê lại thực hiện rút tiền ký quỹ trong thời hạn 01 ngày làm việc, kể từ ngày tiếp nhận hồ sơ rút tiền ký quỹ. 
Trường hợp doanh nghiệp rút tiền ký quỹ do: (i) doanh nghiệp cho thuê lại gặp khó khăn, không đủ nguồn tài chính để thanh toán đủ tiền lương, bảo hiểm xã hội, bảo hiểm y tế, bảo hiểm thất nghiệp, bảo hiểm tai nạn lao động, bệnh nghề nghiệp và các chế độ khác đối với người lao động thuê lại theo thỏa thuận trong hợp đồng lao động, thỏa ước lao động tập thể, nội quy, quy chế của doanh nghiệp cho thuê lại sau thời hạn từ 30 ngày kể từ ngày đến thời hạn thanh toán theo quy định của pháp luật; (ii) doanh nghiệp cho thuê lại gặp khó khăn, không đủ khả năng bồi thường cho người lao động thuê lại do vi phạm hợp đồng lao động với người lao động thuê lại hoặc gây thiệt hại cho người lao động thuê lại vì không bảo đảm quyền và lợi ích hợp pháp của người lao động thuê lại sau thời hạn 60 ngày kể từ ngày đến thời hạn bồi thường theo quy định của pháp luật thì việc thanh toán, bồi thường cho người lao động do ngân hàng nhận ký quỹ trực tiếp chi trả theo phương án đã được Chủ tịch Ủy ban nhân dân cấp tỉnh đồng ý sau khi trừ chi phí dịch vụ ngân hàng.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khi nhận được hồ sơ đầy đủ,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khi nhận được hồ sơ đầy đủ,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khi nhận được hồ sơ đầy đủ,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Hồ sơ rút tiền ký quỹ gửi ngân hàng nhận ký quỹ,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đề nghị rút tiền ký quỹ của doanh nghiệp cho thuê lại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đồng ý về việc rút tiền ký quỹ của Chủ tịch Ủy ban nhân dân cấp tỉnh theo Mẫu số 02/PLIII Phụ lục III ban hành kèm theo Nghị định số 145/2020/NĐ-CP ngày 14 tháng 12 năm 2020 của Chính phủ.</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Chứng từ rút tiền ký quỹ theo quy định của ngân hàng nhận ký quỹ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Hồ sơ đề nghị Chủ tịch Ủy ban nhân dân cấp tỉnh đồng ý về việc rút tiền ký quỹ gửi đến Sở Nội vụ</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đề nghị rút tiền ký quỹ của doanh nghiệp cho thuê lại.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Phương án sử dụng số tiền rút từ tài khoản ký quỹ, gồm: lý do, mục đích rút tiền ký quỹ; danh sách, số lượng người lao động, số tiền, thời gian, phương thức thanh toán đối với trường hợp rút tiền ký quỹ khi doanh nghiệp cho thuê lại gặp khó khăn, không đủ nguồn tài chính để thanh toán đủ tiền lương, bảo hiểm xã hội, bảo hiểm y tế, bảo hiểm thất nghiệp, bảo hiểm tai nạn lao động, bệnh nghề nghiệp và các chế độ khác đối với người lao động thuê lại theo thỏa thuận trong hợp đồng lao động, thỏa ước lao động tập thể, nội quy, quy chế của doanh nghiệp cho thuê lại sau thời hạn từ 30 ngày kể từ ngày đến thời hạn thanh toán theo quy định của pháp luật; (ii) doanh nghiệp cho thuê lại gặp khó khăn, không đủ khả năng bồi thường cho người lao động thuê lại do vi phạm hợp đồng lao động với người lao động thuê lại hoặc gây thiệt hại cho người lao động thuê lại vì không bảo đảm quyền và lợi ích hợp pháp của người lao động thuê lại sau thời hạn 60 ngày kể từ ngày đến thời hạn bồi thường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Báo cáo việc hoàn thành nghĩa vụ và văn bản chứng minh việc hoàn thành nghĩa vụ đối với người lao động thuê lại trong trường hợp rút tiền ký quỹ khi doanh nghiệp cho thuê bị thu hồi giấy phép hoặc không được gia hạn, cấp lại giấy phép.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chứng nhận tiền ký quỹ hoạt động cho thuê lại lao động tại ngân hàng thương mại khác đối với trường hợp rút tiền ký quỹ khi doanh nghiệp cho thuê đã thực hiện ký quỹ tại một ngân hàng thương mại của Việt Nam hoặc chi nhánh ngân hàng thương mại nước ngoài tại Việt Nam khác.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Nội vụ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Sở Nội vụ tỉnh Điện Biên (địa chỉ: Thôn Thanh Xuân, xã Thanh Hưng, huyện Điện Biên, tỉnh Điện Biên. Điện thoại: 02153.831.077)</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chấp thuận việc rút tiền ký quỹ kinh doanh cho thuê lại lao động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	29/2019/NĐ-CP</w:t>
            </w:r>
          </w:p>
        </w:tc>
        <w:tc>
          <w:p/>
          <w:p>
            <w:pPr>
              <w:spacing w:after="0" w:before="0" w:lineRule="auto" w:line="276"/>
              <w:jc w:val="left"/>
            </w:pPr>
            <w:r>
              <w:rPr>
                <w:rFonts w:ascii="Times New Roman" w:hAnsi="Times New Roman" w:cs="Times New Roman" w:eastAsia="Times New Roman"/>
                <w:b w:val="false"/>
                <w:sz w:val="26"/>
              </w:rPr>
              <w:t>Quy định chi tiết thi hành Khoản 3 Điều 54 Bộ luật lao động về việc cấp phép hoạt động cho thuê lại lao động, việc ký quỹ và danh mục công việc được thực hiện cho thuê lại lao động</w:t>
            </w:r>
          </w:p>
        </w:tc>
        <w:tc>
          <w:p/>
          <w:p>
            <w:pPr>
              <w:spacing w:after="0" w:before="0" w:lineRule="auto" w:line="276"/>
              <w:jc w:val="left"/>
            </w:pPr>
            <w:r>
              <w:rPr>
                <w:rFonts w:ascii="Times New Roman" w:hAnsi="Times New Roman" w:cs="Times New Roman" w:eastAsia="Times New Roman"/>
                <w:b w:val="false"/>
                <w:sz w:val="26"/>
              </w:rPr>
              <w:t>20-03-2019</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145/2020/NĐ-CP</w:t>
            </w:r>
          </w:p>
        </w:tc>
        <w:tc>
          <w:p/>
          <w:p>
            <w:pPr>
              <w:spacing w:after="0" w:before="0" w:lineRule="auto" w:line="276"/>
              <w:jc w:val="left"/>
            </w:pPr>
            <w:r>
              <w:rPr>
                <w:rFonts w:ascii="Times New Roman" w:hAnsi="Times New Roman" w:cs="Times New Roman" w:eastAsia="Times New Roman"/>
                <w:b w:val="false"/>
                <w:sz w:val="26"/>
              </w:rPr>
              <w:t>QUY ĐỊNH CHI TIẾT VÀ HƯỚNG DẪN THI HÀNH MỘT SỐ ĐIỀU CỦA BỘ LUẬT LAO ĐỘNG VỀ ĐIỀU KIỆN LAO ĐỘNG VÀ QUAN HỆ LAO ĐỘNG</w:t>
            </w:r>
          </w:p>
        </w:tc>
        <w:tc>
          <w:p/>
          <w:p>
            <w:pPr>
              <w:spacing w:after="0" w:before="0" w:lineRule="auto" w:line="276"/>
              <w:jc w:val="left"/>
            </w:pPr>
            <w:r>
              <w:rPr>
                <w:rFonts w:ascii="Times New Roman" w:hAnsi="Times New Roman" w:cs="Times New Roman" w:eastAsia="Times New Roman"/>
                <w:b w:val="false"/>
                <w:sz w:val="26"/>
              </w:rPr>
              <w:t>14-12-2020</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45/2025/NĐ-CP</w:t>
            </w:r>
          </w:p>
        </w:tc>
        <w:tc>
          <w:p/>
          <w:p>
            <w:pPr>
              <w:spacing w:after="0" w:before="0" w:lineRule="auto" w:line="276"/>
              <w:jc w:val="left"/>
            </w:pPr>
            <w:r>
              <w:rPr>
                <w:rFonts w:ascii="Times New Roman" w:hAnsi="Times New Roman" w:cs="Times New Roman" w:eastAsia="Times New Roman"/>
                <w:b w:val="false"/>
                <w:sz w:val="26"/>
              </w:rPr>
              <w:t>Nghị định số 45/2025/NĐ-CP của Chính phủ: Quy định tổ chức các cơ quan chuyên môn thuộc Ủy ban nhân dân tỉnh, thành phố trực thuộc trung ương và Ủy ban nhân dân huyện, quận, thị xã, thành phố thuộc tỉnh, thành phố thuộc thành phố trực thuộc trung ương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Nghị định số 25/2025/NĐ-CP</w:t>
            </w:r>
          </w:p>
        </w:tc>
        <w:tc>
          <w:p/>
          <w:p>
            <w:pPr>
              <w:spacing w:after="0" w:before="0" w:lineRule="auto" w:line="276"/>
              <w:jc w:val="left"/>
            </w:pPr>
            <w:r>
              <w:rPr>
                <w:rFonts w:ascii="Times New Roman" w:hAnsi="Times New Roman" w:cs="Times New Roman" w:eastAsia="Times New Roman"/>
                <w:b w:val="false"/>
                <w:sz w:val="26"/>
              </w:rPr>
              <w:t>Nghị định số 25/2025/NĐ-CP ngày 21 tháng 02 năm 2025 của Chính phủ quy định chức năng, nhiệm vụ, quyền hạn và cơ cấu tổ chức của Bộ Nội vụ</w:t>
            </w:r>
          </w:p>
        </w:tc>
        <w:tc>
          <w:p/>
          <w:p>
            <w:pPr>
              <w:spacing w:after="0" w:before="0" w:lineRule="auto" w:line="276"/>
              <w:jc w:val="left"/>
            </w:pPr>
            <w:r>
              <w:rPr>
                <w:rFonts w:ascii="Times New Roman" w:hAnsi="Times New Roman" w:cs="Times New Roman" w:eastAsia="Times New Roman"/>
                <w:b w:val="false"/>
                <w:sz w:val="26"/>
              </w:rPr>
              <w:t>21-02-2025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Doanh nghiệp được rút tiền ký quỹ trong các trường hợp sau đây:
- Doanh nghiệp cho thuê lại gặp khó khăn, không đủ nguồn tài chính để thanh toán đủ tiền lương, bảo hiểm xã hội, bảo hiểm y tế, bảo hiểm thất nghiệp, bảo hiểm tai nạn lao động, bệnh nghề nghiệp và các chế độ khác đối với người lao động thuê lại theo thỏa thuận trong hợp đồng lao động, thỏa ước lao động tập thể, nội quy, quy chế của doanh nghiệp cho thuê lại bị chậm từ 30 ngày trở lên kể từ ngày đến thời hạn thanh toán theo quy định của pháp luật;
- Doanh nghiệp cho thuê lại gặp khó khăn, không đủ nguồn tài chính dẫn tới việc bồi thường cho người lao động thuê lại trong trường hợp doanh nghiệp cho thuê lại vi phạm hợp đồng lao động với người lao động thuê lại hoặc gây thiệt hại cho người lao động thuê lại do không bảo đảm về quyền và lợi ích hợp pháp của người lao động thuê lại bị chậm từ 60 ngày trở lên kể từ ngày đến thời hạn bồi thường theo quy định của pháp luật;
        - Doanh nghiệp không được cấp giấy phép;
        - Doanh nghiệp cho thuê lại bị thu hồi giấy phép hoặc không được gia hạn, cấp lại giấy phép;
        - Doanh nghiệp cho thuê lại đã thực hiện ký quỹ tại một ngân hàng thương mại của Việt Nam hoặc chi nhánh ngân hàng thương mại nước ngoài tại Việt Nam khác.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2026-05-01T05:23:28Z</dcterms:created>
  <dc:creator>Apache POI</dc:creator>
</cp:coreProperties>
</file>