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2.002080.H50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thanh toán thù lao cho hòa giải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Tổ trưởng tổ hòa giải lập hồ sơ đề nghị thanh toán thù lao cho hòa giải viên.
+ Địa chỉ tiếp nhận hồ sơ: Bộ phận tiếp nhận và trả kết quả của UBND cấp xã.
+ Thời gian nhận hồ sơ và hẹn trả kết quả: Vào giờ hành chính các ngày làm việc trong tuần (trừ các ngày lễ, tết).
- Trong thời hạn 05 ngày làm việc, kể từ ngày nhận đủ hồ sơ hợp lệ, Ủy ban nhân dân cấp xã xem xét, quyết định và trả thù lao cho hòa giải viên thông qua tổ hòa giải; trường hợp quyết định không thanh toán cho hòa giải viên thì phải trả lời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Tổ hòa giải thực hiện trả thù lao cho hòa giải viên theo quyết định của Ủy ban nhân dân cấp xã trong thời hạn 03 ngày, kể từ ngày nhận được thù lao.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thanh toán thù lao của hòa giải viên có ghi rõ họ, tên, địa chỉ của hòa giải viên; tên, địa chỉ tổ hòa giải; số tiền đề nghị thanh toán; nội dung thanh toán (có danh sách các vụ, việc trong trường hợp đề nghị thanh toán thù lao cho nhiều vụ, việc); chữ ký của hòa giải viên; chữ ký xác nhận của tổ trưởng tổ hòa giải. Xuất trình Sổ theo dõi hoạt động hòa giải ở cơ sở để đối chiếu khi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thanh toán thù lao cho hòa giải viên, Văn bản trả lời trong trường hợp quyết định không thanh toán thù lao cho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15/2014/NĐ-CP</w:t>
            </w:r>
          </w:p>
        </w:tc>
        <w:tc>
          <w:p/>
          <w:p>
            <w:pPr>
              <w:spacing w:after="0" w:before="0" w:lineRule="auto" w:line="276"/>
              <w:jc w:val="left"/>
            </w:pPr>
            <w:r>
              <w:rPr>
                <w:rFonts w:ascii="Times New Roman" w:hAnsi="Times New Roman" w:cs="Times New Roman" w:eastAsia="Times New Roman"/>
                <w:b w:val="false"/>
                <w:sz w:val="26"/>
              </w:rPr>
              <w:t>Nghị định 15/2014/NĐ-CP</w:t>
            </w:r>
          </w:p>
        </w:tc>
        <w:tc>
          <w:p/>
          <w:p>
            <w:pPr>
              <w:spacing w:after="0" w:before="0" w:lineRule="auto" w:line="276"/>
              <w:jc w:val="left"/>
            </w:pPr>
            <w:r>
              <w:rPr>
                <w:rFonts w:ascii="Times New Roman" w:hAnsi="Times New Roman" w:cs="Times New Roman" w:eastAsia="Times New Roman"/>
                <w:b w:val="false"/>
                <w:sz w:val="26"/>
              </w:rPr>
              <w:t>27-02-2014</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35/2013/QH13</w:t>
            </w:r>
          </w:p>
        </w:tc>
        <w:tc>
          <w:p/>
          <w:p>
            <w:pPr>
              <w:spacing w:after="0" w:before="0" w:lineRule="auto" w:line="276"/>
              <w:jc w:val="left"/>
            </w:pPr>
            <w:r>
              <w:rPr>
                <w:rFonts w:ascii="Times New Roman" w:hAnsi="Times New Roman" w:cs="Times New Roman" w:eastAsia="Times New Roman"/>
                <w:b w:val="false"/>
                <w:sz w:val="26"/>
              </w:rPr>
              <w:t>20-06-2013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được hưởng thù lao theo vụ, việc của hòa giải viên: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2026-05-04T09:54:06Z</dcterms:created>
  <dc:creator>Apache POI</dc:creator>
</cp:coreProperties>
</file>