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06 tháng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Cục Hành chính tư pháp để thông báo tìm người nhận con nuôi.
Cục Hành chính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Trường hợp trẻ em mồ côi không có người nuôi dưỡng hoặc trẻ em có cha mẹ đẻ, người thân thích nhưng không có khả năng nuôi dưỡng, người thân thích có trách nhiệm báo cáo Ủy ban nhân dân cấp xã nơi trẻ em thường trú tìm gia đình thay thế cho trẻ em. Ủy ban nhân dân cấp xã có trách nhiệm hỗ trợ nuôi dưỡng trẻ em và thông báo, niêm yết tại trụ sở Ủy ban nhân dân trong thời hạn 60 ngày để tìm người nhận trẻ em làm con nuôi; nếu có người trong nước nhận trẻ em làm con nuôi thì Ủy ban nhân dân cấp xã xem xét, giải quyết. Hết thời hạn thông báo, niêm yết, nếu không có người trong nước nhận trẻ em làm con nuôi thì Ủy ban nhân dân cấp xã lập hồ sơ đưa trẻ em vào cơ sở nuôi dưỡng.
- Người nhận con nuôi nộp hồ sơ của mình và của người được nhận làm con nuôi tại Ủy ban nhân dân cấp xã.
- Ủy ban nhân dân cấp xã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 Công chức cấp xã kiểm tra hồ sơ;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 Công chức cấp xã lấy ý kiến của những người liên quan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10 ngày làm việc,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 </w:t>
            </w:r>
          </w:p>
        </w:tc>
        <w:tc>
          <w:p/>
          <w:p>
            <w:pPr>
              <w:spacing w:after="0" w:before="0" w:lineRule="auto" w:line="276"/>
              <w:jc w:val="left"/>
            </w:pPr>
            <w:r>
              <w:rPr>
                <w:rFonts w:ascii="Times New Roman" w:hAnsi="Times New Roman" w:cs="Times New Roman" w:eastAsia="Times New Roman"/>
                <w:b w:val="false"/>
                <w:sz w:val="26"/>
              </w:rPr>
              <w:t xml:space="preserve">Phí : - Mức thu lệ phí: 400.000 (bốn trăm nghìn) đồng/trường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 </w:t>
            </w:r>
          </w:p>
        </w:tc>
        <w:tc>
          <w:p/>
          <w:p>
            <w:pPr>
              <w:spacing w:after="0" w:before="0" w:lineRule="auto" w:line="276"/>
              <w:jc w:val="left"/>
            </w:pPr>
            <w:r>
              <w:rPr>
                <w:rFonts w:ascii="Times New Roman" w:hAnsi="Times New Roman" w:cs="Times New Roman" w:eastAsia="Times New Roman"/>
                <w:b w:val="false"/>
                <w:sz w:val="26"/>
              </w:rPr>
              <w:t xml:space="preserve">Phí : - Mức thu lệ phí: 400.000 (bốn trăm nghìn) đồng/trường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 </w:t>
            </w:r>
          </w:p>
        </w:tc>
        <w:tc>
          <w:p/>
          <w:p>
            <w:pPr>
              <w:spacing w:after="0" w:before="0" w:lineRule="auto" w:line="276"/>
              <w:jc w:val="left"/>
            </w:pPr>
            <w:r>
              <w:rPr>
                <w:rFonts w:ascii="Times New Roman" w:hAnsi="Times New Roman" w:cs="Times New Roman" w:eastAsia="Times New Roman"/>
                <w:b w:val="false"/>
                <w:sz w:val="26"/>
              </w:rPr>
              <w:t xml:space="preserve">Phí : - Mức thu lệ phí: 400.000 (bốn trăm nghìn) đồng/trường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 </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trường hợp phải chứng minh nơi cư trú của công dân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người nhận con nuôi đề nghị UBND cấp xã xác nhận Văn bản xác nhận hoàn cảnh gia đình, tình trạng chỗ ở, điều kiện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Văn bản xác nhận hoàn cảnh gia đình, tình trạng chỗ ở, điều kiện kinh tế của người nhận con nuôi: Trường hợp người nhận con nuôi có nơi thường trú và nơi tạm trú khác nhau, Ủy ban nhân dân cấp xã nơi người nhận con nuôi thường trú trực tiếp xác minh hoặc có văn bản đề nghị Ủy ban nhân dân cấp xã nơi tạm trú của người nhận con nuôi thực hiện xác minh, đánh giá hoàn cảnh gia đình, tình trạng chỗ ở, điều kiện kinh tế của người nhận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Nuôi con nuôi thuộc thẩm quyền giải quyết của UBND tỉnh, Sở Tư pháp, UBND cấp huyện, Phòng Tư pháp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10/2025/TT-BTP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10/2020/TT-BTP ngày 28 tháng 12 năm 2020 của Bộ trưởng Bộ Tư pháp ban hành, hướng dẫn việc ghi chép, sử dụng, quản lý và lưu trữ Sổ, mẫu giấy tờ, hồ sơ nuôi con nuôi được sửa đổi, bổ sung một số điều theo Thông tư số 07/2023/TT-BTP;</w:t>
            </w:r>
          </w:p>
        </w:tc>
        <w:tc>
          <w:p/>
          <w:p>
            <w:pPr>
              <w:spacing w:after="0" w:before="0" w:lineRule="auto" w:line="276"/>
              <w:jc w:val="left"/>
            </w:pPr>
            <w:r>
              <w:rPr>
                <w:rFonts w:ascii="Times New Roman" w:hAnsi="Times New Roman" w:cs="Times New Roman" w:eastAsia="Times New Roman"/>
                <w:b w:val="false"/>
                <w:sz w:val="26"/>
              </w:rPr>
              <w:t>20-06-2025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3388/QĐ-UBND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ban hành mới, sửa đổi, bổ sung hoặc bị bãi bỏ trong Lĩnh vực đường sắt, Lĩnh vực đăng kiểm thuộc thẩm quyền giải quyết của UBND tỉnh và Sở Xây dựng tỉnh Quảng Trị</w:t>
            </w:r>
          </w:p>
        </w:tc>
        <w:tc>
          <w:p/>
          <w:p>
            <w:pPr>
              <w:spacing w:after="0" w:before="0" w:lineRule="auto" w:line="276"/>
              <w:jc w:val="left"/>
            </w:pPr>
            <w:r>
              <w:rPr>
                <w:rFonts w:ascii="Times New Roman" w:hAnsi="Times New Roman" w:cs="Times New Roman" w:eastAsia="Times New Roman"/>
                <w:b w:val="false"/>
                <w:sz w:val="26"/>
              </w:rPr>
              <w:t>07-01-2026</w:t>
            </w:r>
          </w:p>
        </w:tc>
        <w:tc>
          <w:p/>
        </w:tc>
      </w:tr>
      <w:tr>
        <w:tc>
          <w:p/>
          <w:p>
            <w:pPr>
              <w:spacing w:after="0" w:before="0" w:lineRule="auto" w:line="276"/>
              <w:jc w:val="left"/>
            </w:pPr>
            <w:r>
              <w:rPr>
                <w:rFonts w:ascii="Times New Roman" w:hAnsi="Times New Roman" w:cs="Times New Roman" w:eastAsia="Times New Roman"/>
                <w:b w:val="false"/>
                <w:sz w:val="26"/>
              </w:rPr>
              <w:t>397/QĐ-UBND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lĩnh vực Nuôi con nuôi thuộc thẩm quyền giải quyết của UBND tỉnh,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03-02-2026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2026-05-02T10:42:20Z</dcterms:created>
  <dc:creator>Apache POI</dc:creator>
</cp:coreProperties>
</file>