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2.001255.H50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ký lại việc nuôi con nuôi nộp Tờ khai đăng ký lại việc nuôi con nuôi cho Ủy ban nhân dân cấp xã nơi cha mẹ nuôi và con nuôi thường trú hoặc nơi đã đăng ký việc nuôi con nuôi trước đây. Tờ khai phải có cam đoan của người yêu cầu đăng ký lại về tính trung thực của việc đăng ký nuôi con nuôi trước đó và có chữ ký của ít nhất hai người làm chứng;
Lưu ý: Trường hợp người có yêu cầu lựa chọn nộp hồ sơ không phải tại Ủy ban nhân dân cấp xã nơi có thẩm quyền giải quyết, Ủy ban nhân dân cấp xã nơi tiếp nhận yêu cầu có trách nhiệm hỗ trợ người có yêu cầu nộp hồ sơ đăng ký lại nuôi con nuôi trực tuyến đến đúng Ủy ban nhân dân cấp xã có thẩm quyền theo quy định.
Ủy ban nhân dân cấp xã giải thích rõ cho người có yêu cầu đăng ký lại việc nuôi con nuôi về trách nhiệm, hệ quả pháp lý của việc cam đoan không đúng sự thật. Trường hợp có cơ sở xác định nội dung cam đoan không đúng sự thật, Ủy ban nhân dân cấp xã từ chối đăng ký lại việc nuôi con nuôi hoặc đề nghị cơ quan có thẩm quyền hủy bỏ kết quả đăng ký lại việc nuôi con nuôi.
- Chủ tịch Ủy ban nhân dân cấp xã ký Giấy chứng nhận nuôi con nuôi trong nước. Mục ghi chú của bản chính Giấy chứng nhận nuôi con nuôi và Sổ đăng ký nuôi con nuôi ghi rõ là đăng ký lại. 
Bản chính Giấy chứng nhận nuôi con nuôi trong nước được gửi cho người yêu cầu đăng ký lại qua hệ thống bưu chính hoặc trả trực tiếp tại Ủy ban nhân dân cấp xã. Bản điện tử Giấy chứng nhận nuôi con nuôi trong nước gửi qua Kho quản lý dữ liệu điện tử của cá nhận hoặc qua hộp thư điện tử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lại việc nuôi  con nuôi. Tờ khai phải có  cam đoan của người yêu cầu đăng ký lại về tính trung thực của việc đăng ký nuôi con nuôi trước đó và có chữ ký của ít nhất hai người làm chứng.</w:t>
            </w:r>
          </w:p>
        </w:tc>
        <w:tc>
          <w:p/>
          <w:p>
            <w:pPr>
              <w:spacing w:after="0" w:before="0" w:lineRule="auto" w:line="276"/>
              <w:jc w:val="left"/>
            </w:pPr>
            <w:r>
              <w:rPr>
                <w:rFonts w:ascii="Times New Roman" w:hAnsi="Times New Roman" w:cs="Times New Roman" w:eastAsia="Times New Roman"/>
                <w:b w:val="false"/>
                <w:sz w:val="26"/>
              </w:rPr>
              <w:t>7.Tkhaingklivicnuiconnui.doc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Khi nộp hồ sơ, trường hợp phải chứng minh nơi thường trú của cha mẹ nuôi và con nuôi, cán bộ, công chức, viên chức, cá nhân được giao trách nhiệm tiếp nhận, giải quyết hồ sơ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nộp hồ sơ nộp bản sao hoặc xuất trình một trong các giấy tờ chứng minh thông tin về cư trú, bao gồm: Thẻ căn cước; Giấy xác nhận thông tin về cư trú, Giấy thông báo số định danh cá nhân và thông tin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19/2011/NĐ-CP ngày 21 tháng 3 năm 2011 của Chính phủ quy định chi tiết thi hành một số điều của Luật nuôi con nuôi</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Nuôi con nuôi thuộc thẩm quyền giải quyết của UBND tỉnh, Sở Tư pháp, UBND cấp huyện, Phòng Tư pháp cấp huyện và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10/2025/TT-BTP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10/2020/TT-BTP ngày 28 tháng 12 năm 2020 của Bộ trưởng Bộ Tư pháp ban hành, hướng dẫn việc ghi chép, sử dụng, quản lý và lưu trữ Sổ, mẫu giấy tờ, hồ sơ nuôi con nuôi được sửa đổi, bổ sung một số điều theo Thông tư số 07/2023/TT-BTP;</w:t>
            </w:r>
          </w:p>
        </w:tc>
        <w:tc>
          <w:p/>
          <w:p>
            <w:pPr>
              <w:spacing w:after="0" w:before="0" w:lineRule="auto" w:line="276"/>
              <w:jc w:val="left"/>
            </w:pPr>
            <w:r>
              <w:rPr>
                <w:rFonts w:ascii="Times New Roman" w:hAnsi="Times New Roman" w:cs="Times New Roman" w:eastAsia="Times New Roman"/>
                <w:b w:val="false"/>
                <w:sz w:val="26"/>
              </w:rPr>
              <w:t>20-06-2025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Sổ đăng ký nuôi con nuôi và bản chính giấy tờ đăng ký nuôi con nuôi bị mất hoặc hư hỏng không sử dụng được; 
- Cha, mẹ nuôi và con nuôi đều còn sống vào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2026-05-02T09:45:02Z</dcterms:created>
  <dc:creator>Apache POI</dc:creator>
</cp:coreProperties>
</file>