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thủ tục hành chính về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yêu cầu nộp 01 bộ hồ sơ tại Bộ phận tiếp nhận và trả kết quả theo cơ chế “Một cửa” của Ủy ban nhân dân cấp xã. Trên cơ sở danh sách cơ sở khám chữa bệnh ban đầu do cơ quan Bảo hiểm xã hội cung cấp được niêm yết tại Ủy ban nhân dân cấp xã, người dân lựa chọn, đăng ký nơi khám chữa bệnh ban đầu.
      + Thời gian: Trong giờ hành chính vào các ngày làm việc trong tuần.
      + Cá nhân có yêu cầu thực hiện thủ tục hành chính về đăng ký khai sinh, đăng ký thường trú, cấp thẻ bảo hiểm y tế cho trẻ em dưới 6 tuổi không có điều kiện trực tiếp đến Ủy ban nhân dân cấp xã để nộp hồ sơ thì có thể ủy quyền cho người khác làm thay. Việc ủy quyền phải bằng văn bản và phải được công chứng hoặc chứng thực hợp lệ.
Nếu người được ủy quyền là ông, bà, cha, mẹ, anh, chị, em ruột của người ủy quyền thì không cần phải có văn bản ủy quyền, nhưng phải có giấy tờ chứng minh về mối quan hệ nêu trên.</w:t>
      </w:r>
    </w:p>
    <w:p>
      <w:pPr>
        <w:spacing w:after="0" w:before="0" w:lineRule="auto" w:line="276"/>
        <w:jc w:val="both"/>
      </w:pPr>
      <w:r>
        <w:rPr>
          <w:rFonts w:ascii="Times New Roman" w:hAnsi="Times New Roman" w:cs="Times New Roman" w:eastAsia="Times New Roman"/>
          <w:b w:val="false"/>
          <w:sz w:val="26"/>
        </w:rPr>
        <w:t>- Bước 2: Công chức Tư pháp – Hộ tịch của Ủy ban nhân dân cấp xã  khi tiếp nhận hồ sơ có trách nhiệm kiểm tra giấy tờ trong hồ sơ, hướng dẫn người dân lựa chọn, đăng ký nơi khám chữa bệnh ban đầu.
+  Nếu hồ sơ đầy đủ, hợp lệ thì tiếp nhận và tạm thu lệ phí đăng ký thường trú cho trẻ em (nếu có) theo quy định,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
      + Trường hợp yêu cầu thực hiện liên thông các thủ tục hành chính không thuộc thẩm quyền tiếp nhận, giải quyết của cơ quan mình thì công chức Tư pháp – Hộ tịch giải thích, hướng dẫn người đi đăng ký đến đúng cơ quan có thẩm quyền giải quyết theo quy định của pháp luật.
      + Công chức Tư pháp - Hộ tịch đăng ký khai sinh cho trẻ em ngay trong ngày tiếp nhận hồ sơ; trường hợp hồ sơ tiếp nhận sau 15 giờ mà không giải quyết được ngay trong ngày thì tiến hành giải quyết trong ngày làm việc tiếp theo.
      + Sau khi thực hiện việc đăng ký khai sinh và cấp Giấy khai sinh cho trẻ em, công chức Tư pháp –Hộ tịch được giao nhiệm vụ lập hồ sơ đăng ký thường trú và bản sao Giấy khai sinh cho trẻ em dưới 6 tuổi kèm theo lệ phí chuyển cho cơ quan Công an có thẩm quyền, cụ thể: Địa bàn xã, thị trấn thuộc huyện thuộc tỉnh thì chuyển cho Công an xã, thị trấn thuộc huyện của tỉnh; địa bàn thị xã, thành phố thuộc tỉnh thì chuyển cho công an thị xã, thành phố thuộc tỉnh; đồng thời lập hồ sơ cấp Thẻ bảo hiểm y tế cho trẻ em dưới 6 tuổi chuyển cho Bảo hiểm xã hội cấp huyện để cấp Thẻ bảo hiểm y tế cho trẻ em. Tùy thuộc điều kiện thực tế, Ủy ban nhân dân cấp xã có thể chuyển trước thông tin của người tham gia bảo hiểm y tế đến cơ quan Bảo hiểm xã hội cấp huyện thông qua mạng điện tử.</w:t>
      </w:r>
    </w:p>
    <w:p>
      <w:pPr>
        <w:spacing w:after="0" w:before="0" w:lineRule="auto" w:line="276"/>
        <w:jc w:val="both"/>
      </w:pPr>
      <w:r>
        <w:rPr>
          <w:rFonts w:ascii="Times New Roman" w:hAnsi="Times New Roman" w:cs="Times New Roman" w:eastAsia="Times New Roman"/>
          <w:b w:val="false"/>
          <w:sz w:val="26"/>
        </w:rPr>
        <w:t>Bước 3: Cơ quan Công an, cơ quan Bảo hiểm xã hội kiểm tra hồ sơ, nếu thấy đầy đủ, hợp lệ thì thực hiện đăng ký thường trú (trong thời hạn 15 ngày), cấp Thẻ bảo hiểm y tế cho trẻ em (trong thời hạn 10 ngày làm việc). Trường hợp hồ sơ chưa đầy đủ thì thông báo cho Ủy ban nhân dân cấp xã biết, hoàn thiện và gửi lại cho cơ quan Công  an, cơ quan Bảo hiểm xã hội.
+ Cơ quan Công an, Bảo hiểm xã hội chuyển trả kết quả đăng ký thường trú,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Bước 4: Bộ phận tiếp nhận và trả kết quả theo cơ chế “Một cửa” tại Ủy ban nhân dân cấp xã trả kết quả cho người có yêu cầu.
      + 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cư trú đối với các trường hợp: bố, mẹ, vợ (hoặc chồng) của liệt sĩ, con dưới 18 tuổi của liệt sĩ; thương binh, con dưới 18 tuổi của thương binh; Bà mẹ Việt Nam anh hùng; hộ gia đình thuộc diện xoá đói, giảm nghèo; công dân thuộc xã, thị trấn vùng cao theo quy định của Ủy ban Dân tộc)</w:t>
            </w:r>
          </w:p>
          <w:p>
            <w:pPr>
              <w:spacing w:after="0" w:before="0" w:lineRule="auto" w:line="276"/>
              <w:jc w:val="left"/>
            </w:pPr>
            <w:r>
              <w:rPr>
                <w:rFonts w:ascii="Times New Roman" w:hAnsi="Times New Roman" w:cs="Times New Roman" w:eastAsia="Times New Roman"/>
                <w:b w:val="false"/>
                <w:sz w:val="26"/>
              </w:rPr>
              <w:t>Lệ phí : 4000 Đồng</w:t>
              <w:t xml:space="preserve"> (Mức thu tối đa đối với việc Đăng ký thường trú một người nhưng không cấp sổ hộ khẩu tại xã, thị trấn miền núi, biên giới, hải đảo)</w:t>
            </w:r>
          </w:p>
          <w:p>
            <w:pPr>
              <w:spacing w:after="0" w:before="0" w:lineRule="auto" w:line="276"/>
              <w:jc w:val="left"/>
            </w:pPr>
            <w:r>
              <w:rPr>
                <w:rFonts w:ascii="Times New Roman" w:hAnsi="Times New Roman" w:cs="Times New Roman" w:eastAsia="Times New Roman"/>
                <w:b w:val="false"/>
                <w:sz w:val="26"/>
              </w:rPr>
              <w:t>Lệ phí : 5000 Đồng</w:t>
              <w:t xml:space="preserve"> (Mức thu tối đa đối với việc Đăng ký thường trú một người nhưng không cấp sổ hộ khẩu tại các khu vực khác.)</w:t>
            </w:r>
          </w:p>
          <w:p>
            <w:pPr>
              <w:spacing w:after="0" w:before="0" w:lineRule="auto" w:line="276"/>
              <w:jc w:val="left"/>
            </w:pPr>
            <w:r>
              <w:rPr>
                <w:rFonts w:ascii="Times New Roman" w:hAnsi="Times New Roman" w:cs="Times New Roman" w:eastAsia="Times New Roman"/>
                <w:b w:val="false"/>
                <w:sz w:val="26"/>
              </w:rPr>
              <w:t>Lệ phí : 10000 Đồng</w:t>
              <w:t xml:space="preserve"> (Mức thu tối đa đối với việc Đăng ký thường trú một người nhưng không cấp sổ hộ khẩu tại các phường của thành phố Đồng Hới)</w:t>
            </w:r>
          </w:p>
        </w:tc>
        <w:tc>
          <w:p/>
          <w:p>
            <w:pPr>
              <w:spacing w:after="0" w:before="0" w:lineRule="auto" w:line="276"/>
              <w:jc w:val="left"/>
            </w:pPr>
            <w:r>
              <w:rPr>
                <w:rFonts w:ascii="Times New Roman" w:hAnsi="Times New Roman" w:cs="Times New Roman" w:eastAsia="Times New Roman"/>
                <w:b w:val="false"/>
                <w:sz w:val="26"/>
              </w:rPr>
              <w:t>- Ủy ban nhân dân cấp xã: 04 ngày làm việc (01 ngày làm việc để thực hiện đăng ký khai sinh sau khi nhận đủ hồ sơ hợp lệ; trường hợp hồ sơ tiếp nhận sau 15 giờ mà không giải quyết được ngay trong ngày thì tiến hành giải quyết trong ngày làm việc tiếp theo; 02 ngày làm việc để hoàn thiện việc hồ sơ chưa đầy đủ hoặc chưa đúng quy định)
- Cơ quan đăng ký cư trú: 15 ngày làm việc, kể từ ngày nhận đủ hồ sơ hợp lệ của Ủy ban nhân dân cấp xã.
- Cơ quan Bảo hiểm xã hội: 10 ngày làm việc, kể từ ngày nhận đủ hồ sơ hợp lệ của Ủy ban nhân dân cấp xã.
- Đối với các xã cách xa trụ sở cơ quan Bảo hiểm xã hội cấp huyện hoặc cơ quan Công an cấp huyện từ 50 km trở lên, giao thông đi lại khó khăn, chưa được kết nối Internet thì thời hạn trả kết quả được kéo dài thêm nhưng không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 quy định); Sổ hộ khẩu của cha, mẹ (bản chính) hoặc Sổ hộ khẩu của mẹ (bản chính) đối với trường hợp trẻ em đăng ký thường trú theo mẹ hoặc Sổ hộ khẩu của cha (bản chính) đối với trường hợp trẻ em đăng ký thường trú theo cha hoặc Sổ hộ khẩu của người nuôi dưỡng, chăm sóc trẻ (bản chính) đối với trường hợp trẻ em không đăng ký thường trú theo cha, mẹ, bản sao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không đăng ký thường trú cùng hộ khẩu với cha, mẹ mà đăng ký thường trú theo hộ khẩu của người khác thì ngoài bản sao Giấy khai sinh, phải có ý kiến bằng văn bản của cha, mẹ, có xác nhận của Ủy ban nhân dân cấp xã, ý kiến đồng ý của chủ hộ và Sổ hộ khẩu của chủ hộ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Cơ quan công an đăng ký,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Thông báo kết quả giải quyết thủ tục về cư trú, hủy bỏ thủ tục về cư trú, Phiếu từ chối tiếp nhận, giải quyết hồ sơ (lĩnh vực cư trú), 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105/2014/NĐ-CP</w:t>
            </w:r>
          </w:p>
        </w:tc>
        <w:tc>
          <w:p/>
          <w:p>
            <w:pPr>
              <w:spacing w:after="0" w:before="0" w:lineRule="auto" w:line="276"/>
              <w:jc w:val="left"/>
            </w:pPr>
            <w:r>
              <w:rPr>
                <w:rFonts w:ascii="Times New Roman" w:hAnsi="Times New Roman" w:cs="Times New Roman" w:eastAsia="Times New Roman"/>
                <w:b w:val="false"/>
                <w:sz w:val="26"/>
              </w:rPr>
              <w:t>Nghị định 105/2014/NĐ-CP -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15-11-2014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08.a/2010/TT-BTP</w:t>
            </w:r>
          </w:p>
        </w:tc>
        <w:tc>
          <w:p/>
          <w:p>
            <w:pPr>
              <w:spacing w:after="0" w:before="0" w:lineRule="auto" w:line="276"/>
              <w:jc w:val="left"/>
            </w:pPr>
            <w:r>
              <w:rPr>
                <w:rFonts w:ascii="Times New Roman" w:hAnsi="Times New Roman" w:cs="Times New Roman" w:eastAsia="Times New Roman"/>
                <w:b w:val="false"/>
                <w:sz w:val="26"/>
              </w:rPr>
              <w:t>Thông tư 08.a/2010/TT-BTP</w:t>
            </w:r>
          </w:p>
        </w:tc>
        <w:tc>
          <w:p/>
          <w:p>
            <w:pPr>
              <w:spacing w:after="0" w:before="0" w:lineRule="auto" w:line="276"/>
              <w:jc w:val="left"/>
            </w:pPr>
            <w:r>
              <w:rPr>
                <w:rFonts w:ascii="Times New Roman" w:hAnsi="Times New Roman" w:cs="Times New Roman" w:eastAsia="Times New Roman"/>
                <w:b w:val="false"/>
                <w:sz w:val="26"/>
              </w:rPr>
              <w:t>25-03-2010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158/2005/NĐ-CP</w:t>
            </w:r>
          </w:p>
        </w:tc>
        <w:tc>
          <w:p/>
          <w:p>
            <w:pPr>
              <w:spacing w:after="0" w:before="0" w:lineRule="auto" w:line="276"/>
              <w:jc w:val="left"/>
            </w:pPr>
            <w:r>
              <w:rPr>
                <w:rFonts w:ascii="Times New Roman" w:hAnsi="Times New Roman" w:cs="Times New Roman" w:eastAsia="Times New Roman"/>
                <w:b w:val="false"/>
                <w:sz w:val="26"/>
              </w:rPr>
              <w:t>Nghị định 158/2005/NĐ-CP</w:t>
            </w:r>
          </w:p>
        </w:tc>
        <w:tc>
          <w:p/>
          <w:p>
            <w:pPr>
              <w:spacing w:after="0" w:before="0" w:lineRule="auto" w:line="276"/>
              <w:jc w:val="left"/>
            </w:pPr>
            <w:r>
              <w:rPr>
                <w:rFonts w:ascii="Times New Roman" w:hAnsi="Times New Roman" w:cs="Times New Roman" w:eastAsia="Times New Roman"/>
                <w:b w:val="false"/>
                <w:sz w:val="26"/>
              </w:rPr>
              <w:t>27-12-2005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09b/2013/TT-BTP</w:t>
            </w:r>
          </w:p>
        </w:tc>
        <w:tc>
          <w:p/>
          <w:p>
            <w:pPr>
              <w:spacing w:after="0" w:before="0" w:lineRule="auto" w:line="276"/>
              <w:jc w:val="left"/>
            </w:pPr>
            <w:r>
              <w:rPr>
                <w:rFonts w:ascii="Times New Roman" w:hAnsi="Times New Roman" w:cs="Times New Roman" w:eastAsia="Times New Roman"/>
                <w:b w:val="false"/>
                <w:sz w:val="26"/>
              </w:rPr>
              <w:t>Thông tư 09b/2013/TT-BTP</w:t>
            </w:r>
          </w:p>
        </w:tc>
        <w:tc>
          <w:p/>
          <w:p>
            <w:pPr>
              <w:spacing w:after="0" w:before="0" w:lineRule="auto" w:line="276"/>
              <w:jc w:val="left"/>
            </w:pPr>
            <w:r>
              <w:rPr>
                <w:rFonts w:ascii="Times New Roman" w:hAnsi="Times New Roman" w:cs="Times New Roman" w:eastAsia="Times New Roman"/>
                <w:b w:val="false"/>
                <w:sz w:val="26"/>
              </w:rPr>
              <w:t>20-05-2013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Thông tư liên tich 05/2015/TTLT-BTP-BCA-BYT</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19/2010/QĐ-UBND</w:t>
            </w:r>
          </w:p>
        </w:tc>
        <w:tc>
          <w:p/>
          <w:p>
            <w:pPr>
              <w:spacing w:after="0" w:before="0" w:lineRule="auto" w:line="276"/>
              <w:jc w:val="left"/>
            </w:pPr>
            <w:r>
              <w:rPr>
                <w:rFonts w:ascii="Times New Roman" w:hAnsi="Times New Roman" w:cs="Times New Roman" w:eastAsia="Times New Roman"/>
                <w:b w:val="false"/>
                <w:sz w:val="26"/>
              </w:rPr>
              <w:t>Quyết định số 19/2010/QĐ-UBND</w:t>
            </w:r>
          </w:p>
        </w:tc>
        <w:tc>
          <w:p/>
          <w:p>
            <w:pPr>
              <w:spacing w:after="0" w:before="0" w:lineRule="auto" w:line="276"/>
              <w:jc w:val="left"/>
            </w:pPr>
            <w:r>
              <w:rPr>
                <w:rFonts w:ascii="Times New Roman" w:hAnsi="Times New Roman" w:cs="Times New Roman" w:eastAsia="Times New Roman"/>
                <w:b w:val="false"/>
                <w:sz w:val="26"/>
              </w:rPr>
              <w:t>20-12-2010</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của tỉnh hoặc cùng thuộc địa bàn một quận, huyện, thị xã của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2026-05-02T10:17:27Z</dcterms:created>
  <dc:creator>Apache POI</dc:creator>
</cp:coreProperties>
</file>