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yêu cầu nộp 01 bộ hồ sơ tại Bộ phận tiếp nhận và trả kết quả theo cơ chế “Một cửa” của Ủy ban nhân dân cấp xã. Trên cơ sở danh sách cơ sở khám chữa bệnh ban đầu do cơ quan Bảo hiểm xã hội cung cấp được niêm yết tại Ủy ban nhân dân cấp xã, người dân lựa chọn, đăng ký nơi khám chữa bệnh ban đầu.
      + Thời gian: Trong giờ hành chính vào các ngày làm việc trong tuần.
      + Cá nhân có yêu cầu thực hiện thủ tục hành chính về đăng ký khai sinh, cấp thẻ bảo hiểm y tế cho trẻ em dưới 6 tuổi không có điều kiện trực tiếp đến Ủy ban nhân dân cấp xã để nộp hồ sơ thì có thể ủy quyền cho người khác làm thay. Việc ủy quyền phải bằng văn bản và phải được công chứng hoặc chứng thực hợp lệ.</w:t>
      </w:r>
    </w:p>
    <w:p>
      <w:pPr>
        <w:spacing w:after="0" w:before="0" w:lineRule="auto" w:line="276"/>
        <w:jc w:val="both"/>
      </w:pPr>
      <w:r>
        <w:rPr>
          <w:rFonts w:ascii="Times New Roman" w:hAnsi="Times New Roman" w:cs="Times New Roman" w:eastAsia="Times New Roman"/>
          <w:b w:val="false"/>
          <w:sz w:val="26"/>
        </w:rPr>
        <w:t>- Bước 2: Công chức Tư pháp-Hộ tịch của Ủy ban nhân dân cấp xã  khi tiếp nhận hồ sơ có trách nhiệm kiểm tra giấy tờ trong hồ sơ, hướng dẫn người dân lựa chọn, đăng ký nơi khám chữa bệnh ban đầu trên cơ sở danh sách cơ sở khám chữa bệnh ban đầu do cơ quan Bảo hiểm xã hội cung cấp được niêm yết tại Ủy ban nhân dân cấp xã.
      +  Nếu hồ sơ đầy đủ, hợp lệ thì tiếp nhận,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
      + Trường hợp yêu cầu thực hiện liên thông các thủ tục hành chính không thuộc thẩm quyền tiếp nhận, giải quyết của cơ quan mình thì công chức tư pháp – hộ tịch giải thích, hướng dẫn người đi đăng ký đến đúng cơ quan có thẩm quyền giải quyết theo quy định của pháp luật.
      + Công chức Tư pháp-Hộ tịch đăng ký khai sinh cho trẻ em ngay trong ngày tiếp nhận hồ sơ; trường hợp hồ sơ tiếp nhận sau 15 giờ mà không giải quyết được ngay trong ngày thì tiến hành giải quyết trong ngày làm việc tiếp theo.
      + Sau khi thực hiện việc đăng ký khai sinh và cấp Giấy khai sinh cho trẻ em, công chức Tư pháp-Hộ tịch được giao nhiệm vụ lập hồ sơ cấp Thẻ bảo hiểm y tế cho trẻ em dưới 6 tuổi chuyển cho Bảo hiểm xã hội cấp huyện để cấp Thẻ bảo hiểm y tế cho trẻ em. Tùy thuộc điều kiện thực tế, Ủy ban nhân dân cấp xã có thể chuyển trước thông tin của người tham gia bảo hiểm y tế đến cơ quan Bảo hiểm xã hội cấp huyện thông qua mạng điện tử.
+ Cơ quan Bảo hiểm xã hội kiểm tra hồ sơ, nếu thấy đầy đủ, hợp lệ thì cấp Thẻ bảo hiểm y tế cho trẻ em (trong thời hạn 10 ngày làm việc). Trường hợp hồ sơ chưa đầy đủ thì thông báo cho Ủy ban nhân dân cấp xã biết, hoàn thiện và gửi lại cho cơ quan Bảo hiểm xã hội.
+ Cơ quan Bảo hiểm xã hội chuyển trả Thẻ bảo hiểm y tế cho trẻ em về Ủy ban nhân dân cấp xã.
+ Bộ phận tiếp nhận và trả kết quả theo cơ chế “Một cửa” tại Ủy ban nhân dân cấp xã trả kết quả cho người có yêu cầu.
      + Khi trả Giấy khai sinh cho người có yêu cầu, công chức Tư pháp-Hộ tịch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15 ngày làm việc, kể từ ngày nộp đủ hồ sơ theo quy định, trong đó:
- Ủy ban nhân dân cấp xã: 04 ngày làm việc (01 ngày làm việc để thực hiện đăng ký khai sinh sau khi nhận đủ hồ sơ hợp lệ; trường hợp hồ sơ tiếp nhận sau 15 giờ mà không giải quyết được ngay trong ngày thì tiến hành giải quyết trong ngày làm việc tiếp theo; 02 ngày làm việc để hoàn thiện việc hồ sơ chưa đầy đủ hoặc đúng quy định)   
- Cơ quan Bảo hiểm xã hội: 10 ngày làm việc, kể từ ngày nhận đủ hồ sơ hợp lệ của Ủy ban nhân dân cấp xã.
Trường hợp nhận hồ sơ sau 15 giờ thì thực hiện việc thông báo trong ngày làm việc tiếp theo.
- Đối với các xã cách xa trụ sở cơ quan Bảo hiểm xã hội cấp huyện từ 50 km trở lên, giao thông đi lại khó khăn, chưa được kết nối Internet thì thời hạn trả kết quả được kéo dài thêm nhưng không quá 05 ngày làm việc.
Đối tượng thực hiện	
-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đoàn cơ quan BHXH Việt Nam,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06/2012/NĐ-CP</w:t>
            </w:r>
          </w:p>
        </w:tc>
        <w:tc>
          <w:p/>
          <w:p>
            <w:pPr>
              <w:spacing w:after="0" w:before="0" w:lineRule="auto" w:line="276"/>
              <w:jc w:val="left"/>
            </w:pPr>
            <w:r>
              <w:rPr>
                <w:rFonts w:ascii="Times New Roman" w:hAnsi="Times New Roman" w:cs="Times New Roman" w:eastAsia="Times New Roman"/>
                <w:b w:val="false"/>
                <w:sz w:val="26"/>
              </w:rPr>
              <w:t>Nghị định 06/2012/NĐ-CP - Sửa đổi, bổ sung một số điều của các Nghị định về hộ tịch, hôn nhân và gia đình và chứng thực</w:t>
            </w:r>
          </w:p>
        </w:tc>
        <w:tc>
          <w:p/>
          <w:p>
            <w:pPr>
              <w:spacing w:after="0" w:before="0" w:lineRule="auto" w:line="276"/>
              <w:jc w:val="left"/>
            </w:pPr>
            <w:r>
              <w:rPr>
                <w:rFonts w:ascii="Times New Roman" w:hAnsi="Times New Roman" w:cs="Times New Roman" w:eastAsia="Times New Roman"/>
                <w:b w:val="false"/>
                <w:sz w:val="26"/>
              </w:rPr>
              <w:t>02-02-2012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08.a/2010/TT-BTP</w:t>
            </w:r>
          </w:p>
        </w:tc>
        <w:tc>
          <w:p/>
          <w:p>
            <w:pPr>
              <w:spacing w:after="0" w:before="0" w:lineRule="auto" w:line="276"/>
              <w:jc w:val="left"/>
            </w:pPr>
            <w:r>
              <w:rPr>
                <w:rFonts w:ascii="Times New Roman" w:hAnsi="Times New Roman" w:cs="Times New Roman" w:eastAsia="Times New Roman"/>
                <w:b w:val="false"/>
                <w:sz w:val="26"/>
              </w:rPr>
              <w:t>Thông tư 08.a/2010/TT-BTP</w:t>
            </w:r>
          </w:p>
        </w:tc>
        <w:tc>
          <w:p/>
          <w:p>
            <w:pPr>
              <w:spacing w:after="0" w:before="0" w:lineRule="auto" w:line="276"/>
              <w:jc w:val="left"/>
            </w:pPr>
            <w:r>
              <w:rPr>
                <w:rFonts w:ascii="Times New Roman" w:hAnsi="Times New Roman" w:cs="Times New Roman" w:eastAsia="Times New Roman"/>
                <w:b w:val="false"/>
                <w:sz w:val="26"/>
              </w:rPr>
              <w:t>25-03-2010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158/2005/NĐ-CP</w:t>
            </w:r>
          </w:p>
        </w:tc>
        <w:tc>
          <w:p/>
          <w:p>
            <w:pPr>
              <w:spacing w:after="0" w:before="0" w:lineRule="auto" w:line="276"/>
              <w:jc w:val="left"/>
            </w:pPr>
            <w:r>
              <w:rPr>
                <w:rFonts w:ascii="Times New Roman" w:hAnsi="Times New Roman" w:cs="Times New Roman" w:eastAsia="Times New Roman"/>
                <w:b w:val="false"/>
                <w:sz w:val="26"/>
              </w:rPr>
              <w:t>Nghị định 158/2005/NĐ-CP</w:t>
            </w:r>
          </w:p>
        </w:tc>
        <w:tc>
          <w:p/>
          <w:p>
            <w:pPr>
              <w:spacing w:after="0" w:before="0" w:lineRule="auto" w:line="276"/>
              <w:jc w:val="left"/>
            </w:pPr>
            <w:r>
              <w:rPr>
                <w:rFonts w:ascii="Times New Roman" w:hAnsi="Times New Roman" w:cs="Times New Roman" w:eastAsia="Times New Roman"/>
                <w:b w:val="false"/>
                <w:sz w:val="26"/>
              </w:rPr>
              <w:t>27-12-2005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09b/2013/TT-BTP</w:t>
            </w:r>
          </w:p>
        </w:tc>
        <w:tc>
          <w:p/>
          <w:p>
            <w:pPr>
              <w:spacing w:after="0" w:before="0" w:lineRule="auto" w:line="276"/>
              <w:jc w:val="left"/>
            </w:pPr>
            <w:r>
              <w:rPr>
                <w:rFonts w:ascii="Times New Roman" w:hAnsi="Times New Roman" w:cs="Times New Roman" w:eastAsia="Times New Roman"/>
                <w:b w:val="false"/>
                <w:sz w:val="26"/>
              </w:rPr>
              <w:t>Thông tư 09b/2013/TT-BTP</w:t>
            </w:r>
          </w:p>
        </w:tc>
        <w:tc>
          <w:p/>
          <w:p>
            <w:pPr>
              <w:spacing w:after="0" w:before="0" w:lineRule="auto" w:line="276"/>
              <w:jc w:val="left"/>
            </w:pPr>
            <w:r>
              <w:rPr>
                <w:rFonts w:ascii="Times New Roman" w:hAnsi="Times New Roman" w:cs="Times New Roman" w:eastAsia="Times New Roman"/>
                <w:b w:val="false"/>
                <w:sz w:val="26"/>
              </w:rPr>
              <w:t>20-05-2013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Thông tư liên tich 05/2015/TTLT-BTP-BCA-BYT</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2026-05-02T10:10:32Z</dcterms:created>
  <dc:creator>Apache POI</dc:creator>
</cp:coreProperties>
</file>