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2.001009.H50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văn bản khai nhận di sản mà di sản là động sản, quyền sửa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
+ Người thực hiện chứng thực (hoặc người tiếp nhận hồ sơ trong trường hợp tiếp nhận hồ sơ tại Bộ phận Một cửa) kiểm tra giấy tờ trong hồ sơ yêu cầu chứng thực, nếu đầy đủ, tại thời điểm chứng thực các bên tham gia văn bản khai nhận di sản tự nguyện, minh mẫn và nhận thức, làm chủ được hành vi của mình thì tiếp nhận hồ sơ, thực hiện chứng thực.
+ Người khai nhận di sản phải ký trước mặt người thực hiện chứng thực, nếu văn bản khai nhận di sản có từ hai trang trở lên thì phải ký vào từng trang. Trường hợp người yêu cầu chứng thực nộp hồ sơ tại Bộ phận Một cửa thì người khai nhận di sản phải ký trước mặt người tiếp nhận hồ sơ.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theo mẫu quy định. Trường hợp tiếp nhận hồ sơ tại Bộ phận Một cửa thì người tiếp nhận hồ sơ ký vào từng trang của văn bản khai nhận di sản và ký vào dưới lời chứng theo mẫu quy định.
Người thực hiện chứng thực ký vào từng trang của văn bản khai nhận di sản (nếu hồ sơ không được tiếp nhận qua Bộ phận Một cửa), ký, ghi rõ họ tên, đóng dấu của cơ quan thực hiện chứng thực và ghi vào sổ chứng thực.  
Đối với văn bản khai nhận có từ 02 (hai) trang trở lên, thì từng trang phải được đánh số thứ tự, có chữ ký của người yêu cầu chứng thực và người thực hiện chứng thực; số lượng trang và lời chứng được ghi tại trang cuối của văn bản thỏa thuận. Trường hợp văn bản khai nhận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văn bản khai nhận di sản, nội dung lời chứng cho người yêu cầu chứng thực và ký vào từng trang văn bản khai nhận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đồng/văn bản </w:t>
            </w:r>
          </w:p>
        </w:tc>
        <w:tc>
          <w:p/>
          <w:p>
            <w:pPr>
              <w:spacing w:after="0" w:before="0" w:lineRule="auto" w:line="276"/>
              <w:jc w:val="left"/>
            </w:pPr>
            <w:r>
              <w:rPr>
                <w:rFonts w:ascii="Times New Roman" w:hAnsi="Times New Roman" w:cs="Times New Roman" w:eastAsia="Times New Roman"/>
                <w:b w:val="false"/>
                <w:sz w:val="26"/>
              </w:rPr>
              <w:t>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Dự thảo văn bản khai nhận di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quyền sở hữu, quyền sử dụng hoặc bản sao giấy tờ thay thế được pháp luật quy định đối với tài sản mà pháp luật quy định phải đăng ký quyền sở hữu, quyền sử dụng trong trường hợp văn bản khai nhận di sản liên quan đến tài sản đó (xuất trình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khai nhận di sản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337/QĐ-UBND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lĩnh vực Chứng thực thuộc thẩm quyền giải quyết của Sở Tư pháp, UBND cấp huyện, UBND cấp xã và các tổ chức hành nghề công chứng trên địa bàn tỉnh Quảng Bình</w:t>
            </w:r>
          </w:p>
        </w:tc>
        <w:tc>
          <w:p/>
          <w:p>
            <w:pPr>
              <w:spacing w:after="0" w:before="0" w:lineRule="auto" w:line="276"/>
              <w:jc w:val="left"/>
            </w:pPr>
            <w:r>
              <w:rPr>
                <w:rFonts w:ascii="Times New Roman" w:hAnsi="Times New Roman" w:cs="Times New Roman" w:eastAsia="Times New Roman"/>
                <w:b w:val="false"/>
                <w:sz w:val="26"/>
              </w:rPr>
              <w:t>17-02-2025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467/QĐ-UBND</w:t>
            </w:r>
          </w:p>
        </w:tc>
        <w:tc>
          <w:p/>
          <w:p>
            <w:pPr>
              <w:spacing w:after="0" w:before="0" w:lineRule="auto" w:line="276"/>
              <w:jc w:val="left"/>
            </w:pPr>
            <w:r>
              <w:rPr>
                <w:rFonts w:ascii="Times New Roman" w:hAnsi="Times New Roman" w:cs="Times New Roman" w:eastAsia="Times New Roman"/>
                <w:b w:val="false"/>
                <w:sz w:val="26"/>
              </w:rPr>
              <w:t>Công bố thủ tục hành chính nội bộ giữa các cơ quan hành chính nhà nước trong lĩnh vực Kinh tế hợp tác và Phát triển nông thôn thuộc thẩm quyền giải quyết của UBND tỉnh, Sở Nông nghiệp và Môi trường,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2026-05-02T09:16:44Z</dcterms:created>
  <dc:creator>Apache POI</dc:creator>
</cp:coreProperties>
</file>