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2.002190.H50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yêu cầu bồi thường tại cơ quan trực tiếp quản lý người thi hành công vụ gây thiệt hại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Tiếp nhận và xử lý hồ sơ.
</w:t>
      </w:r>
    </w:p>
    <w:p>
      <w:pPr>
        <w:spacing w:after="0" w:before="0" w:lineRule="auto" w:line="276"/>
        <w:jc w:val="both"/>
      </w:pPr>
      <w:r>
        <w:rPr>
          <w:rFonts w:ascii="Times New Roman" w:hAnsi="Times New Roman" w:cs="Times New Roman" w:eastAsia="Times New Roman"/>
          <w:b w:val="false"/>
          <w:sz w:val="26"/>
        </w:rPr>
        <w:t>+ Địa chỉ tiếp nhận hồ sơ và trả kết quả: Cơ quan trực tiếp quản lý người thi hành công vụ gây thiệt hại cấp huyện.
</w:t>
      </w:r>
    </w:p>
    <w:p>
      <w:pPr>
        <w:spacing w:after="0" w:before="0" w:lineRule="auto" w:line="276"/>
        <w:jc w:val="both"/>
      </w:pPr>
      <w:r>
        <w:rPr>
          <w:rFonts w:ascii="Times New Roman" w:hAnsi="Times New Roman" w:cs="Times New Roman" w:eastAsia="Times New Roman"/>
          <w:b w:val="false"/>
          <w:sz w:val="26"/>
        </w:rPr>
        <w:t>+ Thời gian nhận hồ sơ và trả kết quả: Vào giờ hành chính tất cả các ngày làm việc trong tuần (trừ các ngày lễ, tết).
</w:t>
      </w:r>
    </w:p>
    <w:p>
      <w:pPr>
        <w:spacing w:after="0" w:before="0" w:lineRule="auto" w:line="276"/>
        <w:jc w:val="both"/>
      </w:pPr>
      <w:r>
        <w:rPr>
          <w:rFonts w:ascii="Times New Roman" w:hAnsi="Times New Roman" w:cs="Times New Roman" w:eastAsia="Times New Roman"/>
          <w:b w:val="false"/>
          <w:sz w:val="26"/>
        </w:rPr>
        <w:t>- Thụ lý hồ sơ;</w:t>
      </w:r>
    </w:p>
    <w:p>
      <w:pPr>
        <w:spacing w:after="0" w:before="0" w:lineRule="auto" w:line="276"/>
        <w:jc w:val="both"/>
      </w:pPr>
      <w:r>
        <w:rPr>
          <w:rFonts w:ascii="Times New Roman" w:hAnsi="Times New Roman" w:cs="Times New Roman" w:eastAsia="Times New Roman"/>
          <w:b w:val="false"/>
          <w:sz w:val="26"/>
        </w:rPr>
        <w:t>- Cử người giải quyết bồi thường;</w:t>
      </w:r>
    </w:p>
    <w:p>
      <w:pPr>
        <w:spacing w:after="0" w:before="0" w:lineRule="auto" w:line="276"/>
        <w:jc w:val="both"/>
      </w:pPr>
      <w:r>
        <w:rPr>
          <w:rFonts w:ascii="Times New Roman" w:hAnsi="Times New Roman" w:cs="Times New Roman" w:eastAsia="Times New Roman"/>
          <w:b w:val="false"/>
          <w:sz w:val="26"/>
        </w:rPr>
        <w:t>- Tạm ứng kinh phí bồi thường thiệt hại;</w:t>
      </w:r>
    </w:p>
    <w:p>
      <w:pPr>
        <w:spacing w:after="0" w:before="0" w:lineRule="auto" w:line="276"/>
        <w:jc w:val="both"/>
      </w:pPr>
      <w:r>
        <w:rPr>
          <w:rFonts w:ascii="Times New Roman" w:hAnsi="Times New Roman" w:cs="Times New Roman" w:eastAsia="Times New Roman"/>
          <w:b w:val="false"/>
          <w:sz w:val="26"/>
        </w:rPr>
        <w:t>- Xác minh thiệt hại;</w:t>
      </w:r>
    </w:p>
    <w:p>
      <w:pPr>
        <w:spacing w:after="0" w:before="0" w:lineRule="auto" w:line="276"/>
        <w:jc w:val="both"/>
      </w:pPr>
      <w:r>
        <w:rPr>
          <w:rFonts w:ascii="Times New Roman" w:hAnsi="Times New Roman" w:cs="Times New Roman" w:eastAsia="Times New Roman"/>
          <w:b w:val="false"/>
          <w:sz w:val="26"/>
        </w:rPr>
        <w:t>- Thương lượng việc bồi thường;</w:t>
      </w:r>
    </w:p>
    <w:p>
      <w:pPr>
        <w:spacing w:after="0" w:before="0" w:lineRule="auto" w:line="276"/>
        <w:jc w:val="both"/>
      </w:pPr>
      <w:r>
        <w:rPr>
          <w:rFonts w:ascii="Times New Roman" w:hAnsi="Times New Roman" w:cs="Times New Roman" w:eastAsia="Times New Roman"/>
          <w:b w:val="false"/>
          <w:sz w:val="26"/>
        </w:rPr>
        <w:t>- Ra quyết định giải quyết bồi thường (sau khi ra quyết định giải quyết bồi thường, cơ quan trực tiếp quản lý người thi hành công vụ gây thiệt hại phải lập hồ sơ đề nghị cấp kinh phí bồi thường đến Bộ Tài chính để đề nghị cấp kinh phí bồi thường và chi trả tiền bồi thường cho người yêu cầu bồi thường).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(Luât TNBTCNN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(Luât TNBTCNN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Trường hợp người bị thiệt hại trực tiếp yêu cầu bồi thường thì hồ sơ yêu cầu bồi thường (sau đây gọi là hồ sơ)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w:t>
            </w:r>
          </w:p>
        </w:tc>
        <w:tc>
          <w:p/>
          <w:p>
            <w:pPr>
              <w:spacing w:after="0" w:before="0" w:lineRule="auto" w:line="276"/>
              <w:jc w:val="left"/>
            </w:pPr>
            <w:r>
              <w:rPr>
                <w:rFonts w:ascii="Times New Roman" w:hAnsi="Times New Roman" w:cs="Times New Roman" w:eastAsia="Times New Roman"/>
                <w:b w:val="false"/>
                <w:sz w:val="26"/>
              </w:rPr>
              <w:t>Văn bản yêu cầu bồi thường.doc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cứ có liên quan đến việc yêu cầu bồi thường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làm căn cứ yêu cầu bồi thường, trừ trường hợp người bị thiệt hại không được gửi hoặc không thể có văn bản làm căn cứ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người yêu cầu bồi thường là người thừa kế (nếu có nhiều người thừa kế thì những người thừa kế đó phải cử ra một người đại diện) hoặc là người đại diện của người bị thiệt hại thì ngoài các tài liệu quy định tại các điểm a, b và d khoản 1 Điều 41 Luật TNBTCNN năm 2017, hồ sơ còn phải có các tài liệu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thừa kế, người đại diện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hợp pháp trong trường hợp đại diện theo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bị thiệt hại chết mà có di chúc thì người yêu cầu bồi thường phải cung cấp di chúc, trường hợp không có di chúc thì phải có văn bản hợp pháp về quyền thừa kế. Trường hợp người yêu cầu bồi thường trực tiếp nộp hồ sơ thì các giấy tờ, tài liệu và chứng cứ quy định tại các điểm b, c, d khoản 1 và khoản 2 Điều 41 Luật TNBTCNN năm 2017 là bản sao nhưng phải có bản chính để đối chiếu; trường hợp người yêu cầu bồi thường gửi hồ sơ qua dịch vụ bưu chính thì các giấy tờ, tài liệu và chứng cứ quy định tại các điểm b, c, d khoản 1 và khoản 2 Điều 41 Luật TNBTCNN năm 2017 là bản sao có chứng thực theo quy định của pháp luật về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 thị xã, thành phố - tỉnh Quảng Bình, Các phòng, ban thuộc UBND cấp huyện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bồi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Thông tư 04/2018/TT-BTP </w:t>
            </w:r>
          </w:p>
        </w:tc>
        <w:tc>
          <w:p/>
          <w:p>
            <w:pPr>
              <w:spacing w:after="0" w:before="0" w:lineRule="auto" w:line="276"/>
              <w:jc w:val="left"/>
            </w:pPr>
            <w:r>
              <w:rPr>
                <w:rFonts w:ascii="Times New Roman" w:hAnsi="Times New Roman" w:cs="Times New Roman" w:eastAsia="Times New Roman"/>
                <w:b w:val="false"/>
                <w:sz w:val="26"/>
              </w:rPr>
              <w:t>Quyết định giải quyết bồi thường</w:t>
            </w:r>
          </w:p>
        </w:tc>
        <w:tc>
          <w:p/>
          <w:p>
            <w:pPr>
              <w:spacing w:after="0" w:before="0" w:lineRule="auto" w:line="276"/>
              <w:jc w:val="left"/>
            </w:pPr>
            <w:r>
              <w:rPr>
                <w:rFonts w:ascii="Times New Roman" w:hAnsi="Times New Roman" w:cs="Times New Roman" w:eastAsia="Times New Roman"/>
                <w:b w:val="false"/>
                <w:sz w:val="26"/>
              </w:rPr>
              <w:t>17-05-2017</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Nghị định 68/2018/NĐ-CP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10/2017/QH14 </w:t>
            </w:r>
          </w:p>
        </w:tc>
        <w:tc>
          <w:p/>
          <w:p>
            <w:pPr>
              <w:spacing w:after="0" w:before="0" w:lineRule="auto" w:line="276"/>
              <w:jc w:val="left"/>
            </w:pPr>
            <w:r>
              <w:rPr>
                <w:rFonts w:ascii="Times New Roman" w:hAnsi="Times New Roman" w:cs="Times New Roman" w:eastAsia="Times New Roman"/>
                <w:b w:val="false"/>
                <w:sz w:val="26"/>
              </w:rPr>
              <w:t>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Thủ tục hành chính được thực hiện khi có một trong các căn cứ sau đây:
- Có một trong các căn cứ xác định hành vi trái pháp luật của người thi hành công vụ gây thiệt hại và yêu cầu bồi thường tương ứng quy định tại khoản 2 Điều 7 Luật TNBTCNN năm 2017;
- Có thiệt hại thực tế của người bị thiệt hại thuộc phạm vi trách nhiệm bồi thường của Nhà nước theo quy định của Luật TNBTCNN năm 2017;
- Có mối quan hệ nhân quả giữa thiệt hại thực tế và hành vi gây thiệt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2026-05-04T10:12:25Z</dcterms:created>
  <dc:creator>Apache POI</dc:creator>
</cp:coreProperties>
</file>