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là người thân thích của trẻ em đủ điều kiện nhận chăm sóc thay thế phải thông báo với Ủy ban nhân dân cấp xã nơi cư trú để ra quyết định giao, nhận chăm sóc thay thế</w:t>
      </w:r>
    </w:p>
    <w:p>
      <w:pPr>
        <w:spacing w:after="0" w:before="0" w:lineRule="auto" w:line="276"/>
        <w:jc w:val="both"/>
      </w:pPr>
      <w:r>
        <w:rPr>
          <w:rFonts w:ascii="Times New Roman" w:hAnsi="Times New Roman" w:cs="Times New Roman" w:eastAsia="Times New Roman"/>
          <w:b w:val="false"/>
          <w:sz w:val="26"/>
        </w:rPr>
        <w:t>Người làm công tác bảo vệ trẻ em cấp xã có trách nhiệm xác minh điều kiện của cá nhân, gia đình nhận chăm sóc thay thế (Mẫu số 11 ban hành kèm theo Nghị định số 56/2017/NĐ-CP).</w:t>
      </w:r>
    </w:p>
    <w:p>
      <w:pPr>
        <w:spacing w:after="0" w:before="0" w:lineRule="auto" w:line="276"/>
        <w:jc w:val="both"/>
      </w:pPr>
      <w:r>
        <w:rPr>
          <w:rFonts w:ascii="Times New Roman" w:hAnsi="Times New Roman" w:cs="Times New Roman" w:eastAsia="Times New Roman"/>
          <w:b w:val="false"/>
          <w:sz w:val="26"/>
        </w:rPr>
        <w:t>Chủ tịch Ủy ban nhân dân cấp xã nơi cư trú của cá nhân, gia đình nhận chăm sóc thay thế có trách nhiệm ban hành quyết định giao, nhận trẻ em cho cá nhân, gia đình nhận chăm sóc thay thế trên cơ sở báo cáo xác minh của người làm công tác bảo vệ trẻ em cấp xã (Mẫu số 12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nơi cư trú của cá nhân, người đại diện gia đình có nguyện vọng nhận chăm sóc thay thế cho trẻ em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2026-05-25T20:30:31Z</dcterms:created>
  <dc:creator>Apache POI</dc:creator>
</cp:coreProperties>
</file>