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2.001023.000.00.00.H32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Liên thông các thủ tục hành chính về đăng ký khai sinh,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nộp hồ sơ tại Bộ phận tiếp nhận và trả kết quả theo cơ chế “Một cửa” của Ủy ban nhân dân cấp xã.</w:t>
      </w:r>
    </w:p>
    <w:p>
      <w:pPr>
        <w:spacing w:after="0" w:before="0" w:lineRule="auto" w:line="276"/>
        <w:jc w:val="both"/>
      </w:pPr>
      <w:r>
        <w:rPr>
          <w:rFonts w:ascii="Times New Roman" w:hAnsi="Times New Roman" w:cs="Times New Roman" w:eastAsia="Times New Roman"/>
          <w:b w:val="false"/>
          <w:sz w:val="26"/>
        </w:rPr>
        <w:t>Cán bộ, công chức tiếp nhận hồ sơ có trách nhiệm kiểm tra giấy tờ trong hồ sơ, nếu hồ sơ đầy đủ, hợp lệ thì tiếp nhận, viết giấy nhận hồ sơ, hẹn trả kết quả từng loại việc cho người đi đăng ký; nếu hồ sơ thiếu hoặc không hợp lệ thì hướng dẫn người có yêu cầu bổ sung hoàn thiện hồ sơ; văn bản hướng dẫn phải ghi đầy đủ, rõ ràng loại giấy tờ cần bổ sung, hoàn thiện; cán bộ tiếp nhận hồ sơ ký, ghi rõ họ tên và giao cho người nộp hồ sơ.</w:t>
      </w:r>
    </w:p>
    <w:p>
      <w:pPr>
        <w:spacing w:after="0" w:before="0" w:lineRule="auto" w:line="276"/>
        <w:jc w:val="both"/>
      </w:pPr>
      <w:r>
        <w:rPr>
          <w:rFonts w:ascii="Times New Roman" w:hAnsi="Times New Roman" w:cs="Times New Roman" w:eastAsia="Times New Roman"/>
          <w:b w:val="false"/>
          <w:sz w:val="26"/>
        </w:rPr>
        <w:t>Công chức Tư pháp - hộ tịch cấp xã đăng ký khai sinh cho trẻ em ngay trong ngày tiếp nhận hồ sơ</w:t>
      </w:r>
    </w:p>
    <w:p>
      <w:pPr>
        <w:spacing w:after="0" w:before="0" w:lineRule="auto" w:line="276"/>
        <w:jc w:val="both"/>
      </w:pPr>
      <w:r>
        <w:rPr>
          <w:rFonts w:ascii="Times New Roman" w:hAnsi="Times New Roman" w:cs="Times New Roman" w:eastAsia="Times New Roman"/>
          <w:b w:val="false"/>
          <w:sz w:val="26"/>
        </w:rPr>
        <w:t xml:space="preserve">Sau khi công chức Tư pháp – hộ tịch cấp xã thực hiện việc đăng ký khai sinh và cấp Giấy khai sinh cho trẻ em, cán bộ, công chức được giao nhiệm vụ lập lập hồ sơ cấp Thẻ bảo hiểm y tế chuyển cho Bảo hiểm xã hội cấp huyện để cấp Thẻ bảo hiểm y tế cho trẻ em. </w:t>
      </w:r>
    </w:p>
    <w:p>
      <w:pPr>
        <w:spacing w:after="0" w:before="0" w:lineRule="auto" w:line="276"/>
        <w:jc w:val="both"/>
      </w:pPr>
      <w:r>
        <w:rPr>
          <w:rFonts w:ascii="Times New Roman" w:hAnsi="Times New Roman" w:cs="Times New Roman" w:eastAsia="Times New Roman"/>
          <w:b w:val="false"/>
          <w:sz w:val="26"/>
        </w:rPr>
        <w:t>Cơ quan Bảo hiểm xã hội kiểm tra hồ sơ, nếu thấy đầy đủ, hợp lệ thì thực hiện cấp Thẻ bảo hiểm y tế cho trẻ em (trong thời hạn 10 ngày).
Trường hợp hồ sơ chưa đầy đủ thì thông báo cho Ủy ban nhân dân cấp xã biết, hoàn thiện.</w:t>
      </w:r>
    </w:p>
    <w:p>
      <w:pPr>
        <w:spacing w:after="0" w:before="0" w:lineRule="auto" w:line="276"/>
        <w:jc w:val="both"/>
      </w:pPr>
      <w:r>
        <w:rPr>
          <w:rFonts w:ascii="Times New Roman" w:hAnsi="Times New Roman" w:cs="Times New Roman" w:eastAsia="Times New Roman"/>
          <w:b w:val="false"/>
          <w:sz w:val="26"/>
        </w:rPr>
        <w:t>Cơ quan Bảo hiểm xã hội chuyển trả Thẻ bảo hiểm y tế cho trẻ em về Ủy ban nhân dân cấp xã.</w:t>
      </w:r>
    </w:p>
    <w:p>
      <w:pPr>
        <w:spacing w:after="0" w:before="0" w:lineRule="auto" w:line="276"/>
        <w:jc w:val="both"/>
      </w:pPr>
      <w:r>
        <w:rPr>
          <w:rFonts w:ascii="Times New Roman" w:hAnsi="Times New Roman" w:cs="Times New Roman" w:eastAsia="Times New Roman"/>
          <w:b w:val="false"/>
          <w:sz w:val="26"/>
        </w:rPr>
        <w:t>Bộ phận tiếp nhận và trả kết quả theo cơ chế “Một cửa” tại Ủy ban nhân dân cấp xã trả kết quả cho người có yêu cầu.</w:t>
      </w:r>
    </w:p>
    <w:p>
      <w:pPr>
        <w:spacing w:after="0" w:before="0" w:lineRule="auto" w:line="276"/>
        <w:jc w:val="both"/>
      </w:pPr>
      <w:r>
        <w:rPr>
          <w:rFonts w:ascii="Times New Roman" w:hAnsi="Times New Roman" w:cs="Times New Roman" w:eastAsia="Times New Roman"/>
          <w:b w:val="false"/>
          <w:sz w:val="26"/>
        </w:rPr>
        <w:t>Khi trả Giấy khai sinh cho người có yêu cầu, công chức Tư pháp – hộ tịch ghi vào Sổ đăng ký khai sinh, yêu cầu người có yêu cầu ký tên vào Sổ đăng ký khai sinh và Giấy khai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Thời hạn thực hiện liên thông các thủ tục hành chính đăng ký khai sinh, cấp thẻ bảo hiểm y tế cho trẻ em dưới 6 tuổi tối đa không quá 15 ngày làm việc, kể từ ngày nộp đủ hồ sơ theo quy định.  - Trường hợp hồ sơ, thông tin chưa đầy đủ hoặc chưa đúng quy định mà Bộ phận tiếp nhận và trả kết quả của Ủy ban nhân dân cấp xã phải hoàn thiện hồ sơ, bổ sung thông tin theo yêu cầu của cơ quan Bảo hiểm xã hội thì thời hạn giải quyết được kéo dài thêm không quá 02 ngày làm việc.  - Đối với các xã cách xa trụ sở cơ quan Bảo hiểm xã hội cấp huyện từ 50 km trở lên, giao thông đi lại khó khăn, chưa được kết nối Internet thì thời hạn trả kết quả được kéo dài thêm nhưng không quá 05 ngày làm việc.  - Căn cứ vào tình hình thực tế, các địa phương có thể quy định cụ thể thời hạn thực hiện liên thông các thủ tục hành chính ngắn hơn thời hạn tối đa nêu trên.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Người có yêu cầu trực tiếp hoặc ủy quyền cho người khác thực hiện tại Bộ phận tiếp nhận và trả kết quả tại Ủy ban nhân dân cấp xã.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sinh do cơ sở y tế nơi trẻ em sinh ra cấp; nếu trẻ em sinh ra ngoài cơ sở y tế thì giấy chứng sinh được thay bằng văn bản xác nhận của người làm chứng; trường hợp không có người làm chứng thì người đi khai sinh phải làm giấy cam đoan về việc sinh là có thực. Đối với trường hợp trẻ em bị bỏ rơi thì nộp biên bản về việc trẻ em bị bỏ rơi thay cho 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tham gia bảo hiểm y tế, Danh sách đề nghị cấp thẻ bảo hiểm y tế cho trẻ em dưới 6 tuổi của Ủy ban nhân dân cấp xã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quy định.</w:t>
            </w:r>
          </w:p>
        </w:tc>
        <w:tc>
          <w:p/>
          <w:p>
            <w:pPr>
              <w:spacing w:after="0" w:before="0" w:lineRule="auto" w:line="276"/>
              <w:jc w:val="left"/>
            </w:pPr>
            <w:r>
              <w:rPr>
                <w:rFonts w:ascii="Times New Roman" w:hAnsi="Times New Roman" w:cs="Times New Roman" w:eastAsia="Times New Roman"/>
                <w:b w:val="false"/>
                <w:sz w:val="26"/>
              </w:rPr>
              <w:t>Tờ khai đăng ký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Công đoàn cơ quan BHXH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02/2014/TT-BTC</w:t>
            </w:r>
          </w:p>
        </w:tc>
        <w:tc>
          <w:p/>
          <w:p>
            <w:pPr>
              <w:spacing w:after="0" w:before="0" w:lineRule="auto" w:line="276"/>
              <w:jc w:val="left"/>
            </w:pPr>
            <w:r>
              <w:rPr>
                <w:rFonts w:ascii="Times New Roman" w:hAnsi="Times New Roman" w:cs="Times New Roman" w:eastAsia="Times New Roman"/>
                <w:b w:val="false"/>
                <w:sz w:val="26"/>
              </w:rPr>
              <w:t>Thông tư số 02/2014/TT-BTC ngày 02/01/2014 của Bộ trưởng Bộ Tài chính hướng dẫn về phí và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105/2014/NĐ-CP</w:t>
            </w:r>
          </w:p>
        </w:tc>
        <w:tc>
          <w:p/>
          <w:p>
            <w:pPr>
              <w:spacing w:after="0" w:before="0" w:lineRule="auto" w:line="276"/>
              <w:jc w:val="left"/>
            </w:pPr>
            <w:r>
              <w:rPr>
                <w:rFonts w:ascii="Times New Roman" w:hAnsi="Times New Roman" w:cs="Times New Roman" w:eastAsia="Times New Roman"/>
                <w:b w:val="false"/>
                <w:sz w:val="26"/>
              </w:rPr>
              <w:t>Nghị định 105/2014/NĐ-CP - Quy định chi tiết và hướng dẫn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15-11-2014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06/2012/NĐ-CP</w:t>
            </w:r>
          </w:p>
        </w:tc>
        <w:tc>
          <w:p/>
          <w:p>
            <w:pPr>
              <w:spacing w:after="0" w:before="0" w:lineRule="auto" w:line="276"/>
              <w:jc w:val="left"/>
            </w:pPr>
            <w:r>
              <w:rPr>
                <w:rFonts w:ascii="Times New Roman" w:hAnsi="Times New Roman" w:cs="Times New Roman" w:eastAsia="Times New Roman"/>
                <w:b w:val="false"/>
                <w:sz w:val="26"/>
              </w:rPr>
              <w:t>Nghị định 06/2012/NĐ-CP - Sửa đổi, bổ sung một số điều của các Nghị định về hộ tịch, hôn nhân và gia đình và chứng thực</w:t>
            </w:r>
          </w:p>
        </w:tc>
        <w:tc>
          <w:p/>
          <w:p>
            <w:pPr>
              <w:spacing w:after="0" w:before="0" w:lineRule="auto" w:line="276"/>
              <w:jc w:val="left"/>
            </w:pPr>
            <w:r>
              <w:rPr>
                <w:rFonts w:ascii="Times New Roman" w:hAnsi="Times New Roman" w:cs="Times New Roman" w:eastAsia="Times New Roman"/>
                <w:b w:val="false"/>
                <w:sz w:val="26"/>
              </w:rPr>
              <w:t>02-02-2012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08.a/2010/TT-BTP</w:t>
            </w:r>
          </w:p>
        </w:tc>
        <w:tc>
          <w:p/>
          <w:p>
            <w:pPr>
              <w:spacing w:after="0" w:before="0" w:lineRule="auto" w:line="276"/>
              <w:jc w:val="left"/>
            </w:pPr>
            <w:r>
              <w:rPr>
                <w:rFonts w:ascii="Times New Roman" w:hAnsi="Times New Roman" w:cs="Times New Roman" w:eastAsia="Times New Roman"/>
                <w:b w:val="false"/>
                <w:sz w:val="26"/>
              </w:rPr>
              <w:t>Thông tư 08.a/2010/TT-BTP</w:t>
            </w:r>
          </w:p>
        </w:tc>
        <w:tc>
          <w:p/>
          <w:p>
            <w:pPr>
              <w:spacing w:after="0" w:before="0" w:lineRule="auto" w:line="276"/>
              <w:jc w:val="left"/>
            </w:pPr>
            <w:r>
              <w:rPr>
                <w:rFonts w:ascii="Times New Roman" w:hAnsi="Times New Roman" w:cs="Times New Roman" w:eastAsia="Times New Roman"/>
                <w:b w:val="false"/>
                <w:sz w:val="26"/>
              </w:rPr>
              <w:t>25-03-2010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158/2005/NĐ-CP</w:t>
            </w:r>
          </w:p>
        </w:tc>
        <w:tc>
          <w:p/>
          <w:p>
            <w:pPr>
              <w:spacing w:after="0" w:before="0" w:lineRule="auto" w:line="276"/>
              <w:jc w:val="left"/>
            </w:pPr>
            <w:r>
              <w:rPr>
                <w:rFonts w:ascii="Times New Roman" w:hAnsi="Times New Roman" w:cs="Times New Roman" w:eastAsia="Times New Roman"/>
                <w:b w:val="false"/>
                <w:sz w:val="26"/>
              </w:rPr>
              <w:t>Nghị định 158/2005/NĐ-CP</w:t>
            </w:r>
          </w:p>
        </w:tc>
        <w:tc>
          <w:p/>
          <w:p>
            <w:pPr>
              <w:spacing w:after="0" w:before="0" w:lineRule="auto" w:line="276"/>
              <w:jc w:val="left"/>
            </w:pPr>
            <w:r>
              <w:rPr>
                <w:rFonts w:ascii="Times New Roman" w:hAnsi="Times New Roman" w:cs="Times New Roman" w:eastAsia="Times New Roman"/>
                <w:b w:val="false"/>
                <w:sz w:val="26"/>
              </w:rPr>
              <w:t>27-12-2005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09b/2013/TT-BTP</w:t>
            </w:r>
          </w:p>
        </w:tc>
        <w:tc>
          <w:p/>
          <w:p>
            <w:pPr>
              <w:spacing w:after="0" w:before="0" w:lineRule="auto" w:line="276"/>
              <w:jc w:val="left"/>
            </w:pPr>
            <w:r>
              <w:rPr>
                <w:rFonts w:ascii="Times New Roman" w:hAnsi="Times New Roman" w:cs="Times New Roman" w:eastAsia="Times New Roman"/>
                <w:b w:val="false"/>
                <w:sz w:val="26"/>
              </w:rPr>
              <w:t>Thông tư 09b/2013/TT-BTP</w:t>
            </w:r>
          </w:p>
        </w:tc>
        <w:tc>
          <w:p/>
          <w:p>
            <w:pPr>
              <w:spacing w:after="0" w:before="0" w:lineRule="auto" w:line="276"/>
              <w:jc w:val="left"/>
            </w:pPr>
            <w:r>
              <w:rPr>
                <w:rFonts w:ascii="Times New Roman" w:hAnsi="Times New Roman" w:cs="Times New Roman" w:eastAsia="Times New Roman"/>
                <w:b w:val="false"/>
                <w:sz w:val="26"/>
              </w:rPr>
              <w:t>20-05-2013</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05/2015/TTLT-BTP-BCA-BYT</w:t>
            </w:r>
          </w:p>
        </w:tc>
        <w:tc>
          <w:p/>
          <w:p>
            <w:pPr>
              <w:spacing w:after="0" w:before="0" w:lineRule="auto" w:line="276"/>
              <w:jc w:val="left"/>
            </w:pPr>
            <w:r>
              <w:rPr>
                <w:rFonts w:ascii="Times New Roman" w:hAnsi="Times New Roman" w:cs="Times New Roman" w:eastAsia="Times New Roman"/>
                <w:b w:val="false"/>
                <w:sz w:val="26"/>
              </w:rPr>
              <w:t>Thông tư liên tich 05/2015/TTLT-BTP-BCA-BYT</w:t>
            </w:r>
          </w:p>
        </w:tc>
        <w:tc>
          <w:p/>
          <w:p>
            <w:pPr>
              <w:spacing w:after="0" w:before="0" w:lineRule="auto" w:line="276"/>
              <w:jc w:val="left"/>
            </w:pPr>
            <w:r>
              <w:rPr>
                <w:rFonts w:ascii="Times New Roman" w:hAnsi="Times New Roman" w:cs="Times New Roman" w:eastAsia="Times New Roman"/>
                <w:b w:val="false"/>
                <w:sz w:val="26"/>
              </w:rPr>
              <w:t>15-05-2015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đăng ký khai sinh cho trẻ em dưới 6 tuổi thuộc thẩm quyền giải quyết của Ủy ban nhân dân cấp xã.
- Các cơ quan có thẩm quyền thực hiện liên thông các thủ tục hành chính phải cùng thuộc địa bàn một huyện, thị xã, thành phố thuộc tỉnh hoặc cùng thuộc địa bàn một quận, huyện, thị xã thuộc thành phố trực thuộc trung 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2026-05-27T17:58:01Z</dcterms:created>
  <dc:creator>Apache POI</dc:creator>
</cp:coreProperties>
</file>