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niêm yết việc nhận cha, mẹ, con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xã ở khu vực biên giới nơi công dân Việt Nam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42/2020/NĐ-CP</w:t>
            </w:r>
          </w:p>
        </w:tc>
        <w:tc>
          <w:p/>
          <w:p>
            <w:pPr>
              <w:spacing w:after="0" w:before="0" w:lineRule="auto" w:line="276"/>
              <w:jc w:val="left"/>
            </w:pPr>
            <w:r>
              <w:rPr>
                <w:rFonts w:ascii="Times New Roman" w:hAnsi="Times New Roman" w:cs="Times New Roman" w:eastAsia="Times New Roman"/>
                <w:b w:val="false"/>
                <w:sz w:val="26"/>
              </w:rPr>
              <w:t>Nghị định 42/2020/NĐ-CP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2026-05-11T11:21:32Z</dcterms:created>
  <dc:creator>Apache POI</dc:creator>
</cp:coreProperties>
</file>