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1.003471.000.00.00.H18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đề cương, kết quả kiểm định an toàn  đập, hồ chứa thủy lợi thuộc thẩm quyền của Chủ tịch UBND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Tổ chức, cá nhân nộp hồ sơ đề nghị phê duyệt đề cương kiểm định an toàn đập, hồ chứa thủy lợi đến Trung tâm phục vụ hành chính công cấp xã</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hồ sơ, cơ quan tiếp nhận hồ sơ có trách nhiệm xem xét, kiểm tra hồ sơ; trường hợp hồ sơ không hợp lệ, cơ quan tiếp nhận hồ sơ thông báo cho tổ chức, cá nhân đề nghị phê duyệt đề cương kiểm định an toàn đập, hồ chứa thủy lợi để hoàn chỉnh hồ sơ theo quy định.</w:t>
      </w:r>
    </w:p>
    <w:p>
      <w:pPr>
        <w:spacing w:after="0" w:before="0" w:lineRule="auto" w:line="276"/>
        <w:jc w:val="both"/>
      </w:pPr>
      <w:r>
        <w:rPr>
          <w:rFonts w:ascii="Times New Roman" w:hAnsi="Times New Roman" w:cs="Times New Roman" w:eastAsia="Times New Roman"/>
          <w:b w:val="false"/>
          <w:sz w:val="26"/>
        </w:rPr>
        <w:t>Bước 3: Trong thời hạn 15 ngày làm việc, kể từ ngày nhận đủ hồ sơ hợp lệ, cơ quan tiếp nhận hồ sơ có trách nhiệm thẩm định hồ sơ, kiểm tra thực tế hiện trường khi cần thiết, trường hợp đủ điều kiện, trình cấp có thẩm quyền xem xét phê duyệt; trường hợp không đủ điều kiện phê duyệt, cơ quan tiếp nhận trả lại hồ sơ cho tổ chức, cá nhân đề nghị phê duyệt và thông báo lý do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đề cương kiểm định an toàn đập, hồ chứa thủy lợi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trình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Các tài liệu liên quan khác kèm theo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Đề cương, kết quả kiểm định được phê duyệt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thủy lợi</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quản lý an toàn đập, hồ chứa nước</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2026-05-09T06:45:33Z</dcterms:created>
  <dc:creator>Apache POI</dc:creator>
</cp:coreProperties>
</file>