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đầu tư xây dựng phát triển thủy lợi nhỏ, thuỷ lợi nội đồng và tưới tiên tiến, tiết kiệm nước (Đối với nguồn vốn hỗ trợ trực tiếp, ngân sách địa phương và nguồn vốn hợp pháp khác của địa phương phân bổ dự toán cho UBND cấp xã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hỗ trợ gửi 01 bộ hồ sơ đến Trung tâm phục vụ hành chính công UBND cấp xã để thực hiện xem xét thanh toán, giải ngân.
Bước 2: Đối với hồ sơ chưa đầy đủ hợp lệ, UBND cấp xã đề nghị tổ chức, cá nhân bổ sung hồ sơ hoặc từ chối thực hiện nếu hồ sơ không hợp lệ.
Bước 3: UBND cấp xã thanh toán nguồn vốn hỗ trợ cho người đề nghị hỗ trợ trong thời gian 7 ngày làm việc kể từ khi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w:t>
            </w:r>
          </w:p>
        </w:tc>
        <w:tc>
          <w:p/>
          <w:p>
            <w:pPr>
              <w:spacing w:after="0" w:before="0" w:lineRule="auto" w:line="276"/>
              <w:jc w:val="left"/>
            </w:pPr>
            <w:r>
              <w:rPr>
                <w:rFonts w:ascii="Times New Roman" w:hAnsi="Times New Roman" w:cs="Times New Roman" w:eastAsia="Times New Roman"/>
                <w:b w:val="false"/>
                <w:sz w:val="26"/>
              </w:rPr>
              <w:t>Phụ lục NĐ77.docx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giai đoạn hoặc nghiệm thu hoàn thành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Ủy nhiệm chi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77/2018/NĐ-CP</w:t>
            </w:r>
          </w:p>
        </w:tc>
        <w:tc>
          <w:p/>
          <w:p>
            <w:pPr>
              <w:spacing w:after="0" w:before="0" w:lineRule="auto" w:line="276"/>
              <w:jc w:val="left"/>
            </w:pPr>
            <w:r>
              <w:rPr>
                <w:rFonts w:ascii="Times New Roman" w:hAnsi="Times New Roman" w:cs="Times New Roman" w:eastAsia="Times New Roman"/>
                <w:b w:val="false"/>
                <w:sz w:val="26"/>
              </w:rPr>
              <w:t>quy định hỗ trợ phát triển thủy lợi nhỏ, thủy lợi nội đồng, tưới tiên tiến, tiết kiệm nước</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lĩnh vực Giáo dục và đào tạo thuộc thẩm quyền giải quyết của Sở Giáo dục và Đào tạo tỉnh Quảng Bình</w:t>
            </w:r>
          </w:p>
        </w:tc>
        <w:tc>
          <w:p/>
          <w:p>
            <w:pPr>
              <w:spacing w:after="0" w:before="0" w:lineRule="auto" w:line="276"/>
              <w:jc w:val="left"/>
            </w:pPr>
            <w:r>
              <w:rPr>
                <w:rFonts w:ascii="Times New Roman" w:hAnsi="Times New Roman" w:cs="Times New Roman" w:eastAsia="Times New Roman"/>
                <w:b w:val="false"/>
                <w:sz w:val="26"/>
              </w:rPr>
              <w:t>08-05-2025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743/QĐ-UBND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thay thế, bị bãi bỏ trong lĩnh vực thủy lợi, quản lý đê điều và phòng, chống thiên tai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Hỗ trợ đầu tư xây dựng công trình tích trữ nước:
+ Phù hợp với quy hoạch chung xây dựng xã;
+ Đảm bảo cấp nước, tưới phục vụ sản xuất nông nghiệp cho tối thiểu 3 thành viên của tổ chức thủy lợi cơ sở; được tất cả các thành viên hưởng lợi đồng thuận đóng góp phần kinh phí còn lại; tổ chức thủy lợi cơ sở tự quản lý, khai thác công trình sau đầu tư.
- Hỗ trợ tưới tiên tiến, tiết kiệm nước:
+ Đối với cá nhân: Quy mô khu tưới phải đạt từ 0,3 ha trở lên; riêng khu vực miền núi từ 0,1 ha trở lên; việc hỗ trợ cho cá nhân được thông qua tổ chức thủy lợi cơ sở.
+ Đối với tổ chức thủy lợi cơ sở: Quy mô khu tưới phải đạt từ 02 ha trở lên; riêng khu vực miền núi từ 01 ha trở lên và phải có hợp đồng liên kết với hộ gia đình hoặc cá nhân trực tiếp sản xuất;
+ Hệ thống tưới tiên tiến, tiết kiệm nước tưới phục vụ các loại cây trồng là cây trồng chủ lực của quốc gia, địa phương, có lợi thế, phù hợp với nhu cầu thị trường và thích ứng với biến đổi khí hậu từng vùng, miền.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2026-05-04T13:54:51Z</dcterms:created>
  <dc:creator>Apache POI</dc:creator>
</cp:coreProperties>
</file>