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1.003729.000.00.00.H26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959/QĐ-TTPVHCC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hoạt động in xuất bản phẩm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tổ chức thực hiện TTHC cần chuẩn bị đầy đủ hồ sơ hợp lệ theo quy định.</w:t>
      </w:r>
    </w:p>
    <w:p>
      <w:pPr>
        <w:spacing w:after="0" w:before="0" w:lineRule="auto" w:line="276"/>
        <w:jc w:val="both"/>
      </w:pPr>
      <w:r>
        <w:rPr>
          <w:rFonts w:ascii="Times New Roman" w:hAnsi="Times New Roman" w:cs="Times New Roman" w:eastAsia="Times New Roman"/>
          <w:b w:val="false"/>
          <w:sz w:val="26"/>
        </w:rPr>
        <w:t>- Bước 2: Công dân, tổ chức lựa chọn một trong các hình thức nộp hồ sơ phù hợp.
+ Nếu hồ sơ đầy đủ, hợp lệ: viết phiếu nhận hoặc phản hồi thông tin và hẹn trả kết quả.
+ Nếu hồ sơ không đầy đủ, hợp lệ: trả lại hồ sơ và hướng dẫn cho tổ chức, cá nhân hoàn thiện hồ sơ theo quy định.</w:t>
      </w:r>
    </w:p>
    <w:p>
      <w:pPr>
        <w:spacing w:after="0" w:before="0" w:lineRule="auto" w:line="276"/>
        <w:jc w:val="both"/>
      </w:pPr>
      <w:r>
        <w:rPr>
          <w:rFonts w:ascii="Times New Roman" w:hAnsi="Times New Roman" w:cs="Times New Roman" w:eastAsia="Times New Roman"/>
          <w:b w:val="false"/>
          <w:sz w:val="26"/>
        </w:rPr>
        <w:t>- Bước 3: Công dân, tổ chức nhận kết quả theo giấy hẹn  hoặc sử dụng dịch vụ bưu chính.</w:t>
      </w:r>
    </w:p>
    <w:p>
      <w:pPr>
        <w:spacing w:after="0" w:before="0" w:lineRule="auto" w:line="276"/>
        <w:jc w:val="both"/>
      </w:pPr>
      <w:r>
        <w:rPr>
          <w:rFonts w:ascii="Times New Roman" w:hAnsi="Times New Roman" w:cs="Times New Roman" w:eastAsia="Times New Roman"/>
          <w:b w:val="false"/>
          <w:sz w:val="26"/>
        </w:rPr>
        <w:t>Lưu ý: Các hồ sơ gửi qua hệ thống bưu chính chỉ được tiếp nhận và giải quyết khi những giấy tờ trong hồ sơ được chứng thực theo đúng quy định của pháp luật; có thông tin liên hệ đầy đủ đồng thời thực hiện Kê khai vào Mẫu phiếu đăng ký nhận Kết quả giải quyết TTHC qua dịch vụ bưu chính và gửi kèm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khi nhận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khi nhận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khi nhận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đổi giấy phép hoạt động in xuất bản phẩm theo Mẫu số 18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Mus18-nnghcpicpliGPHIn.doc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Trường hợp thay đổi địa chỉ của mặt bằng sản xuất, cơ sở in xuất bản phẩm gửi kèm bản sao giấy chứng nhận quyền sử dụng đất hoặc hợp đồng hoặc các loại giấy tờ khác chứng minh về việc giao đất, thuê đất, thuê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cấp xã hoặc Chi nhánh số 1 Trung tâm phục vụ hành chính công Hà Nội - Địa chỉ 258 Võ Chí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in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23/2014/TT-BTTTT</w:t>
            </w:r>
          </w:p>
        </w:tc>
        <w:tc>
          <w:p/>
          <w:p>
            <w:pPr>
              <w:spacing w:after="0" w:before="0" w:lineRule="auto" w:line="276"/>
              <w:jc w:val="left"/>
            </w:pPr>
            <w:r>
              <w:rPr>
                <w:rFonts w:ascii="Times New Roman" w:hAnsi="Times New Roman" w:cs="Times New Roman" w:eastAsia="Times New Roman"/>
                <w:b w:val="false"/>
                <w:sz w:val="26"/>
              </w:rPr>
              <w:t>Thông tư 23/2014/TT-BTTTT</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2026-05-17T07:53:17Z</dcterms:created>
  <dc:creator>Apache POI</dc:creator>
</cp:coreProperties>
</file>