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1.003970.H50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chuyển quyền sở hữu phương tiện đồng thời thay đổi cơ quan đăng ký phương tiện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 Tổ chức, cá nhân nộp hồ sơ đề nghị đến Bộ phận tiếp nhận và trả kết quả giải quyết thủ tục hành chính của Sở Xây dựng tại Trung tâm Phục vụ hành chính công tỉnh Quảng Trị (tại: Cơ sở 1: số 09, đường Quang Trung, phường Đồng Hới, tỉnh Quảng Trị; Cơ sở 2: 22 Trần Hưng Đạo, phường Đông Hà, tỉnh Quảng Trị) đối với: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đến Ủy ban nhân dân cấp xã trên địa bàn tỉnh Quảng Trị đối với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Nộp hồ sơ trực tuyến tại Cổng Dịch vụ công Quốc gia tại địa chỉ https://dichvucong.gov.vn/.
b) Giải quyết TTHC:
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Xuất trình hoặc gửi bản chính hoặc bản sao có chứng thực hoặc bản sao điện tử được chứng thực từ bản chính hoặc bản sao điện tử được cấp từ sổ gốc các loại giấy tờ sau đây để cơ quan đăng ký phương tiện kiểm tra: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Hợp đồng mua bán phương tiện hoặc quyết định điều chuyển phương tiện của cơ quan có thẩm quyền hoặc giấy tờ khác chứng minh phương tiện được cho, tặng, thừa kế theo quy định của pháp luật. Trường hợp chủ phương tiện là tổ chức, cá nhân nước ngoài đứng tên đăng ký lại phương tiện thì phải xuất trình giấy tờ chứng minh được phép hoạt động và có trụ sở tại Việt Nam hoặc giấy tờ chứng minh được phép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an toàn kỹ thuật và bảo vệ môi trường của phương tiện còn hiệu lực đối với phương tiện thuộc diện đăng kiểm..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nộp để lưu giữ tại cơ quan đăng ký phương tiện: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Sở Xây dựng tỉnh Quảng Trị tại: Cơ sở 1: số 09, đường Quang Trung, phường Đồng Hới, tỉnh Quảng Trị; Cơ sở 2:45 Hùng Vương, phường Đông Hà, tỉnh Quảng Trị) - Bộ phận tiếp nhận và trả kết quả giải quyết TTHC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23/2004/QH11</w:t>
            </w:r>
          </w:p>
        </w:tc>
        <w:tc>
          <w:p/>
          <w:p>
            <w:pPr>
              <w:spacing w:after="0" w:before="0" w:lineRule="auto" w:line="276"/>
              <w:jc w:val="left"/>
            </w:pPr>
            <w:r>
              <w:rPr>
                <w:rFonts w:ascii="Times New Roman" w:hAnsi="Times New Roman" w:cs="Times New Roman" w:eastAsia="Times New Roman"/>
                <w:b w:val="false"/>
                <w:sz w:val="26"/>
              </w:rPr>
              <w:t>Giao thông đường thủy nội địa</w:t>
            </w:r>
          </w:p>
        </w:tc>
        <w:tc>
          <w:p/>
          <w:p>
            <w:pPr>
              <w:spacing w:after="0" w:before="0" w:lineRule="auto" w:line="276"/>
              <w:jc w:val="left"/>
            </w:pPr>
            <w:r>
              <w:rPr>
                <w:rFonts w:ascii="Times New Roman" w:hAnsi="Times New Roman" w:cs="Times New Roman" w:eastAsia="Times New Roman"/>
                <w:b w:val="false"/>
                <w:sz w:val="26"/>
              </w:rPr>
              <w:t>15-06-2004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47/2005/TT-BTC</w:t>
            </w:r>
          </w:p>
        </w:tc>
        <w:tc>
          <w:p/>
          <w:p>
            <w:pPr>
              <w:spacing w:after="0" w:before="0" w:lineRule="auto" w:line="276"/>
              <w:jc w:val="left"/>
            </w:pPr>
            <w:r>
              <w:rPr>
                <w:rFonts w:ascii="Times New Roman" w:hAnsi="Times New Roman" w:cs="Times New Roman" w:eastAsia="Times New Roman"/>
                <w:b w:val="false"/>
                <w:sz w:val="26"/>
              </w:rPr>
              <w:t>Hướng dẫn chế độ thu, nộp và quản lý sử dụng phí, lệ phí quản lý nhà nước về đảm bảo trật tự, an toàn giao thông đường thuỷ nội địa</w:t>
            </w:r>
          </w:p>
        </w:tc>
        <w:tc>
          <w:p/>
          <w:p>
            <w:pPr>
              <w:spacing w:after="0" w:before="0" w:lineRule="auto" w:line="276"/>
              <w:jc w:val="left"/>
            </w:pPr>
            <w:r>
              <w:rPr>
                <w:rFonts w:ascii="Times New Roman" w:hAnsi="Times New Roman" w:cs="Times New Roman" w:eastAsia="Times New Roman"/>
                <w:b w:val="false"/>
                <w:sz w:val="26"/>
              </w:rPr>
              <w:t>08-06-2005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48/2014/QH13</w:t>
            </w:r>
          </w:p>
        </w:tc>
        <w:tc>
          <w:p/>
          <w:p>
            <w:pPr>
              <w:spacing w:after="0" w:before="0" w:lineRule="auto" w:line="276"/>
              <w:jc w:val="left"/>
            </w:pPr>
            <w:r>
              <w:rPr>
                <w:rFonts w:ascii="Times New Roman" w:hAnsi="Times New Roman" w:cs="Times New Roman" w:eastAsia="Times New Roman"/>
                <w:b w:val="false"/>
                <w:sz w:val="26"/>
              </w:rPr>
              <w:t>Luật 48/2014/QH13</w:t>
            </w:r>
          </w:p>
        </w:tc>
        <w:tc>
          <w:p/>
          <w:p>
            <w:pPr>
              <w:spacing w:after="0" w:before="0" w:lineRule="auto" w:line="276"/>
              <w:jc w:val="left"/>
            </w:pPr>
            <w:r>
              <w:rPr>
                <w:rFonts w:ascii="Times New Roman" w:hAnsi="Times New Roman" w:cs="Times New Roman" w:eastAsia="Times New Roman"/>
                <w:b w:val="false"/>
                <w:sz w:val="26"/>
              </w:rPr>
              <w:t>17-06-2014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 quy định mức thu, chế độ thu, nộp, quản lý và sử dụng phí, lệ phí trong lĩnh vực đường thủy nội địa và đường sắt do Bộ trưởng Bộ Tài chính ban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1821/QĐ-UBND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ban hành mới trong lĩnh vực Đường bộ thuộc thẩm quyền giải quyết của Ủy ban nhân dân tỉnh và Sở Xây dựng tỉnh Quảng Bình</w:t>
            </w:r>
          </w:p>
        </w:tc>
        <w:tc>
          <w:p/>
          <w:p>
            <w:pPr>
              <w:spacing w:after="0" w:before="0" w:lineRule="auto" w:line="276"/>
              <w:jc w:val="left"/>
            </w:pPr>
            <w:r>
              <w:rPr>
                <w:rFonts w:ascii="Times New Roman" w:hAnsi="Times New Roman" w:cs="Times New Roman" w:eastAsia="Times New Roman"/>
                <w:b w:val="false"/>
                <w:sz w:val="26"/>
              </w:rPr>
              <w:t>06-06-2025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2026-05-04T10:09:54Z</dcterms:created>
  <dc:creator>Apache POI</dc:creator>
</cp:coreProperties>
</file>