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45 Hùng Vương, phường Đông Hà, tỉnh Quảng Trị) -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33/2011/TT-BTC</w:t>
            </w:r>
          </w:p>
        </w:tc>
        <w:tc>
          <w:p/>
          <w:p>
            <w:pPr>
              <w:spacing w:after="0" w:before="0" w:lineRule="auto" w:line="276"/>
              <w:jc w:val="left"/>
            </w:pPr>
            <w:r>
              <w:rPr>
                <w:rFonts w:ascii="Times New Roman" w:hAnsi="Times New Roman" w:cs="Times New Roman" w:eastAsia="Times New Roman"/>
                <w:b w:val="false"/>
                <w:sz w:val="26"/>
              </w:rPr>
              <w:t>Sửa đổi Thông tư số 47/2005/TT-BTC ngày 08/6/2005 của Bộ Tài chính hướng dẫn chế độ thu, nộp, quản lý và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14-03-2011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01-01-2017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2026-05-04T10:06:50Z</dcterms:created>
  <dc:creator>Apache POI</dc:creator>
</cp:coreProperties>
</file>