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2.000794.H50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câu lạc bộ thể dục thể thao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Ban chủ nhiệm câu lạc bộ thể dục thể thao cơ sở gửi trực tiếp hoặc qua bưu chính hoặc trực tuyến 01 bộ hồ sơ tại Cổng dịch vụ công quốc gia đến Ủy ban nhân dân cấp xã.
- Trong thời hạn 05 ngày làm việc kể từ ngày nhận đủ hồ sơ hợp lệ, Chủ tịch Uỷ ban nhân dân cấp xã ra quyết định công nhận câu lạc bộ thể dục thể thao cơ sở. Trường hợp không công nhận thì phải có văn bản trả lời nêu rõ lý do.
- Đối với Câu lạc bộ thể dục thể thao cơ sở được thành lập theo pháp luật về hội thì thực hiện theo quy định của pháp luật về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công nhận câu lạc bộ thể dục thể thao cơ sở (theo mẫu số 01 tại Phụ lục kèm theo Thông tư số 16/2025/TT-BVHTTDL ngày 01/12/2025)</w:t>
            </w:r>
          </w:p>
        </w:tc>
        <w:tc>
          <w:p/>
          <w:p>
            <w:pPr>
              <w:spacing w:after="0" w:before="0" w:lineRule="auto" w:line="276"/>
              <w:jc w:val="left"/>
            </w:pPr>
            <w:r>
              <w:rPr>
                <w:rFonts w:ascii="Times New Roman" w:hAnsi="Times New Roman" w:cs="Times New Roman" w:eastAsia="Times New Roman"/>
                <w:b w:val="false"/>
                <w:sz w:val="26"/>
              </w:rPr>
              <w:t>Totrinhcongnhan.docx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hoạt động của câu lạc bộ thể dục thể thao cơ sở (theo mẫu số 02 tại Phụ lục kèm theo Thông tư số 16/2025/TT-BVHTTDL ngày 01/12/2025)</w:t>
            </w:r>
          </w:p>
        </w:tc>
        <w:tc>
          <w:p/>
          <w:p>
            <w:pPr>
              <w:spacing w:after="0" w:before="0" w:lineRule="auto" w:line="276"/>
              <w:jc w:val="left"/>
            </w:pPr>
            <w:r>
              <w:rPr>
                <w:rFonts w:ascii="Times New Roman" w:hAnsi="Times New Roman" w:cs="Times New Roman" w:eastAsia="Times New Roman"/>
                <w:b w:val="false"/>
                <w:sz w:val="26"/>
              </w:rPr>
              <w:t>Quychehoatdong.docx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câu lạc bộ thể thao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112/2007/NĐ-CP</w:t>
            </w:r>
          </w:p>
        </w:tc>
        <w:tc>
          <w:p/>
          <w:p>
            <w:pPr>
              <w:spacing w:after="0" w:before="0" w:lineRule="auto" w:line="276"/>
              <w:jc w:val="left"/>
            </w:pPr>
            <w:r>
              <w:rPr>
                <w:rFonts w:ascii="Times New Roman" w:hAnsi="Times New Roman" w:cs="Times New Roman" w:eastAsia="Times New Roman"/>
                <w:b w:val="false"/>
                <w:sz w:val="26"/>
              </w:rPr>
              <w:t>Nghị định 112/2007/NĐ-CP</w:t>
            </w:r>
          </w:p>
        </w:tc>
        <w:tc>
          <w:p/>
          <w:p>
            <w:pPr>
              <w:spacing w:after="0" w:before="0" w:lineRule="auto" w:line="276"/>
              <w:jc w:val="left"/>
            </w:pPr>
            <w:r>
              <w:rPr>
                <w:rFonts w:ascii="Times New Roman" w:hAnsi="Times New Roman" w:cs="Times New Roman" w:eastAsia="Times New Roman"/>
                <w:b w:val="false"/>
                <w:sz w:val="26"/>
              </w:rPr>
              <w:t>26-06-2007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18/2011/TT-BVHTTDL</w:t>
            </w:r>
          </w:p>
        </w:tc>
        <w:tc>
          <w:p/>
          <w:p>
            <w:pPr>
              <w:spacing w:after="0" w:before="0" w:lineRule="auto" w:line="276"/>
              <w:jc w:val="left"/>
            </w:pPr>
            <w:r>
              <w:rPr>
                <w:rFonts w:ascii="Times New Roman" w:hAnsi="Times New Roman" w:cs="Times New Roman" w:eastAsia="Times New Roman"/>
                <w:b w:val="false"/>
                <w:sz w:val="26"/>
              </w:rPr>
              <w:t>Thông tư 18/2011/TT-BVHTTDL</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331/QĐ-UBND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được sửa đổi, bổ sung hoặc bị bãi bỏ trong lĩnh vực Du lịch, Thể dục thể thao thuộc thẩm quyền giải quyết của Sở Văn hóa, Thể thao và Du lịch,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2026-05-02T11:24:12Z</dcterms:created>
  <dc:creator>Apache POI</dc:creator>
</cp:coreProperties>
</file>