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Chủ tịch Ủy ban nhân dân cấp xã nơi cư trú theo quy định của pháp luật.</w:t>
      </w:r>
    </w:p>
    <w:p>
      <w:pPr>
        <w:spacing w:after="0" w:before="0" w:lineRule="auto" w:line="276"/>
        <w:jc w:val="both"/>
      </w:pPr>
      <w:r>
        <w:rPr>
          <w:rFonts w:ascii="Times New Roman" w:hAnsi="Times New Roman" w:cs="Times New Roman" w:eastAsia="Times New Roman"/>
          <w:b w:val="false"/>
          <w:sz w:val="26"/>
        </w:rPr>
        <w:t>Bước 2: Trong thời hạn 20 ngày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w:t>
      </w:r>
    </w:p>
    <w:p>
      <w:pPr>
        <w:spacing w:after="0" w:before="0" w:lineRule="auto" w:line="276"/>
        <w:jc w:val="both"/>
      </w:pPr>
      <w:r>
        <w:rPr>
          <w:rFonts w:ascii="Times New Roman" w:hAnsi="Times New Roman" w:cs="Times New Roman" w:eastAsia="Times New Roman"/>
          <w:b w:val="false"/>
          <w:sz w:val="26"/>
        </w:rPr>
        <w:t>Bước 3: Lập hồ sơ, biên bản kết luận dạng khuyết tật và mức độ khuyết tật của người được đánh giá theo Mẫu số 05 ban hành kèm Thông tư số 01/2019/TT-BLĐTBXH (được sửa đổi, bổ sung tại Thông tư số 08/2023/TT-BLĐTBXH). 
1.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51/2010/QH12 năm 2010</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nghề nghiệp thuộc thẩm quyền giải quyết của UBND tỉnh, Sở Giáo dục và Đào tạo, Phòng Giáo dục và đào tạo, cơ sở giáo dục nghề nghiệp công lập trên địa bàn tỉnh Quảng Bình</w:t>
            </w:r>
          </w:p>
        </w:tc>
        <w:tc>
          <w:p/>
          <w:p>
            <w:pPr>
              <w:spacing w:after="0" w:before="0" w:lineRule="auto" w:line="276"/>
              <w:jc w:val="left"/>
            </w:pPr>
            <w:r>
              <w:rPr>
                <w:rFonts w:ascii="Times New Roman" w:hAnsi="Times New Roman" w:cs="Times New Roman" w:eastAsia="Times New Roman"/>
                <w:b w:val="false"/>
                <w:sz w:val="26"/>
              </w:rPr>
              <w:t>11-04-2025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2026-05-02T10:22:28Z</dcterms:created>
  <dc:creator>Apache POI</dc:creator>
</cp:coreProperties>
</file>