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sinh viên theo chế độ cử tuyển:</w:t>
      </w:r>
    </w:p>
    <w:p>
      <w:pPr>
        <w:spacing w:after="0" w:before="0" w:lineRule="auto" w:line="276"/>
        <w:jc w:val="both"/>
      </w:pPr>
      <w:r>
        <w:rPr>
          <w:rFonts w:ascii="Times New Roman" w:hAnsi="Times New Roman" w:cs="Times New Roman" w:eastAsia="Times New Roman"/>
          <w:b w:val="false"/>
          <w:sz w:val="26"/>
        </w:rPr>
        <w:t>a) Trong thời hạn 15 ngày kể từ ngày nhập học, sinh viên nộp hồ sơ trực tiếp hoặc qua đường bưu điện hoặc nộp trực tuyến theo quy định về Trung tâm Phục vụ hành chính công tỉnh Điện Biên nơi đăng ký hộ khẩu thường trú.</w:t>
      </w:r>
    </w:p>
    <w:p>
      <w:pPr>
        <w:spacing w:after="0" w:before="0" w:lineRule="auto" w:line="276"/>
        <w:jc w:val="both"/>
      </w:pPr>
      <w:r>
        <w:rPr>
          <w:rFonts w:ascii="Times New Roman" w:hAnsi="Times New Roman" w:cs="Times New Roman" w:eastAsia="Times New Roman"/>
          <w:b w:val="false"/>
          <w:sz w:val="26"/>
        </w:rPr>
        <w:t>b) Sở Nội vụ, Sở Giáo dục và Đào tạo tiếp nhận hồ sơ, thẩm định, lập danh sách, dự toán nhu cầu kinh phí và thực hiện việc chi trả học bổng chính sách cho sinh viên theo quy định.</w:t>
      </w:r>
    </w:p>
    <w:p>
      <w:pPr>
        <w:spacing w:after="0" w:before="0" w:lineRule="auto" w:line="276"/>
        <w:jc w:val="both"/>
      </w:pPr>
      <w:r>
        <w:rPr>
          <w:rFonts w:ascii="Times New Roman" w:hAnsi="Times New Roman" w:cs="Times New Roman" w:eastAsia="Times New Roman"/>
          <w:b w:val="false"/>
          <w:sz w:val="26"/>
        </w:rPr>
        <w:t>c) Trường hợp hồ sơ không bảo đảm đúng quy định, Sở Nội vụ, Sở Giáo dục và Đào tạo có trách nhiệm thông báo cho người học trong thời hạn 07 ngày làm việc kể từ ngày nhận được hồ sơ.</w:t>
      </w:r>
    </w:p>
    <w:p>
      <w:pPr>
        <w:spacing w:after="0" w:before="0" w:lineRule="auto" w:line="276"/>
        <w:jc w:val="both"/>
      </w:pPr>
      <w:r>
        <w:rPr>
          <w:rFonts w:ascii="Times New Roman" w:hAnsi="Times New Roman" w:cs="Times New Roman" w:eastAsia="Times New Roman"/>
          <w:b w:val="false"/>
          <w:sz w:val="26"/>
        </w:rPr>
        <w:t>d) Sinh viên nhận học bổng chính sách trực tiếp tại Sở Nội vụ, Sở Giáo dục và Đào tạo hoặc thông qua tài khoản ngân hàng của sinh viên theo định kỳ xét, cấp học bổng.</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trường dự bị đại học, trường phổ thông dân tộc nội trú:</w:t>
      </w:r>
    </w:p>
    <w:p>
      <w:pPr>
        <w:spacing w:after="0" w:before="0" w:lineRule="auto" w:line="276"/>
        <w:jc w:val="both"/>
      </w:pPr>
      <w:r>
        <w:rPr>
          <w:rFonts w:ascii="Times New Roman" w:hAnsi="Times New Roman" w:cs="Times New Roman" w:eastAsia="Times New Roman"/>
          <w:b w:val="false"/>
          <w:sz w:val="26"/>
        </w:rPr>
        <w:t>a) Trong thời hạn 15 ngày kể từ ngày nhập học, học sinh nộp hồ sơ theo quy định cho nhà trường nơi học sinh đang theo học để xét, cấp học bổng chính sách.</w:t>
      </w:r>
    </w:p>
    <w:p>
      <w:pPr>
        <w:spacing w:after="0" w:before="0" w:lineRule="auto" w:line="276"/>
        <w:jc w:val="both"/>
      </w:pPr>
      <w:r>
        <w:rPr>
          <w:rFonts w:ascii="Times New Roman" w:hAnsi="Times New Roman" w:cs="Times New Roman" w:eastAsia="Times New Roman"/>
          <w:b w:val="false"/>
          <w:sz w:val="26"/>
        </w:rPr>
        <w:t>b)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Học sinh nhận học bổng chính sách tại cơ sở giáo dục đang theo học theo định kỳ xét, cấp học bổng chính sách theo quy định.</w:t>
      </w:r>
    </w:p>
    <w:p>
      <w:pPr>
        <w:shd w:val="clear" w:color="auto" w:fill="F2F6F9"/>
        <w:spacing w:after="0" w:before="120" w:lineRule="auto" w:line="276"/>
        <w:jc w:val="both"/>
      </w:pPr>
      <w:r>
        <w:rPr>
          <w:rFonts w:ascii="Times New Roman" w:hAnsi="Times New Roman" w:cs="Times New Roman" w:eastAsia="Times New Roman"/>
          <w:b w:val="true"/>
          <w:sz w:val="26"/>
        </w:rPr>
        <w:t>3. Đối với học viên cơ sở giáo dục nghề nghiệp dành cho thương binh, người khuyết tật:</w:t>
      </w:r>
    </w:p>
    <w:p>
      <w:pPr>
        <w:spacing w:after="0" w:before="0" w:lineRule="auto" w:line="276"/>
        <w:jc w:val="both"/>
      </w:pPr>
      <w:r>
        <w:rPr>
          <w:rFonts w:ascii="Times New Roman" w:hAnsi="Times New Roman" w:cs="Times New Roman" w:eastAsia="Times New Roman"/>
          <w:b w:val="false"/>
          <w:sz w:val="26"/>
        </w:rPr>
        <w:t>a) Trong thời hạn 15 ngày kể từ ngày nhập học, cơ sở giáo dục nghề nghiệp thông báo cho học viên về chế độ học bổng chính sách, thời gian nộp hồ sơ và hướng dẫn học viên nộp hồ sơ theo quy định.</w:t>
      </w:r>
    </w:p>
    <w:p>
      <w:pPr>
        <w:spacing w:after="0" w:before="0" w:lineRule="auto" w:line="276"/>
        <w:jc w:val="both"/>
      </w:pPr>
      <w:r>
        <w:rPr>
          <w:rFonts w:ascii="Times New Roman" w:hAnsi="Times New Roman" w:cs="Times New Roman" w:eastAsia="Times New Roman"/>
          <w:b w:val="false"/>
          <w:sz w:val="26"/>
        </w:rPr>
        <w:t>b)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152/2007/QĐ-TTg</w:t>
            </w:r>
          </w:p>
        </w:tc>
        <w:tc>
          <w:p/>
          <w:p>
            <w:pPr>
              <w:spacing w:after="0" w:before="0" w:lineRule="auto" w:line="276"/>
              <w:jc w:val="left"/>
            </w:pPr>
            <w:r>
              <w:rPr>
                <w:rFonts w:ascii="Times New Roman" w:hAnsi="Times New Roman" w:cs="Times New Roman" w:eastAsia="Times New Roman"/>
                <w:b w:val="false"/>
                <w:sz w:val="26"/>
              </w:rPr>
              <w:t>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14-09-2007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23/2008/TTLT/BGDĐT-BLĐTBXH-BTC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28-04-2008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14/2016/TTLT-BGDĐT-BLĐTBXH-BTC</w:t>
            </w:r>
          </w:p>
        </w:tc>
        <w:tc>
          <w:p/>
          <w:p>
            <w:pPr>
              <w:spacing w:after="0" w:before="0" w:lineRule="auto" w:line="276"/>
              <w:jc w:val="left"/>
            </w:pPr>
            <w:r>
              <w:rPr>
                <w:rFonts w:ascii="Times New Roman" w:hAnsi="Times New Roman" w:cs="Times New Roman" w:eastAsia="Times New Roman"/>
                <w:b w:val="false"/>
                <w:sz w:val="26"/>
              </w:rPr>
              <w:t>Sửa đổi, bổ sung mục III của Thông tư liên tịch số 23/2008/TTLT-BGDĐT-BLĐTBXH-BTC ngày 28/4/2008 của liên bộ Giáo dục và Đào tạo, Lao động–Thương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05-05-2016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2026-05-22T22:45:39Z</dcterms:created>
  <dc:creator>Apache POI</dc:creator>
</cp:coreProperties>
</file>