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1.005090.000.00.00.H18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1330/QĐ-UBND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Xét tuyển sinh vào trường phổ thông dân tộc nội trú</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Thi, tuyển sinh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Sở Giáo dục và Đào tạo lập kế hoạch tuyển sinh đối với trường PTDTNT trên địa bàn tỉnh, trình Ủy ban nhân dân cấp tỉnh phê duyệt và ban hành. Kế hoạch tuyển sinh gồm các nội dung chính sau: đối tượng, địa bàn, phương thức, chỉ tiêu tuyển sinh; tỷ lệ tuyển sinh ở xã, thôn đặc biệt khó khăn và các địa bàn khác; tổ chức công tác tuyển sinh;</w:t>
      </w:r>
    </w:p>
    <w:p>
      <w:pPr>
        <w:spacing w:after="0" w:before="0" w:lineRule="auto" w:line="276"/>
        <w:jc w:val="both"/>
      </w:pPr>
      <w:r>
        <w:rPr>
          <w:rFonts w:ascii="Times New Roman" w:hAnsi="Times New Roman" w:cs="Times New Roman" w:eastAsia="Times New Roman"/>
          <w:b w:val="false"/>
          <w:sz w:val="26"/>
        </w:rPr>
        <w:t>Sở Giáo dục và Đào tạo hướng dẫn tuyển sinh đối với các trường PTDTNT có cấp học cao nhất là trung học phổ thông và Ủy ban nhân dân cấp xã hướng dẫn tuyển sinh đối với các trường PTDTNT trung học cơ sở đặt trên địa bàn.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Theo đợt, trước khi khai giảng năm học.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Theo đợt, trước khi khai giảng năm học.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Theo đợt, trước khi khai giảng năm học.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Tuyển sinh trung học cơ sở và phổ thông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Học bạ cấp tiểu học hoặc các hồ sơ khác có giá trị thay thế học bạ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xác nhận chế độ ưu tiên do cơ quan có thẩm quyền cấp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Học bạ cấp trung học cơ sở</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chứng thực hoặc bản chụp/photo kèm bản chính để đối chiếu bằng tốt nghiệp trung học cơ sở hoặc giấy chứng nhận tốt nghiệp trung học cơ sở tạm thờ</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xác nhận chế độ ưu tiên do cơ quan có thẩm quyền cấp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Giáo dục và Đào tạo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Danh sách thí sinh được tuyển vào học tại trường phổ thông dân tộc nội trú</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01/2016/TT-BGDĐT</w:t>
            </w:r>
          </w:p>
        </w:tc>
        <w:tc>
          <w:p/>
          <w:p>
            <w:pPr>
              <w:spacing w:after="0" w:before="0" w:lineRule="auto" w:line="276"/>
              <w:jc w:val="left"/>
            </w:pPr>
            <w:r>
              <w:rPr>
                <w:rFonts w:ascii="Times New Roman" w:hAnsi="Times New Roman" w:cs="Times New Roman" w:eastAsia="Times New Roman"/>
                <w:b w:val="false"/>
                <w:sz w:val="26"/>
              </w:rPr>
              <w:t>Thông tư 01/2016/TT-BGDĐT</w:t>
            </w:r>
          </w:p>
        </w:tc>
        <w:tc>
          <w:p/>
          <w:p>
            <w:pPr>
              <w:spacing w:after="0" w:before="0" w:lineRule="auto" w:line="276"/>
              <w:jc w:val="left"/>
            </w:pPr>
            <w:r>
              <w:rPr>
                <w:rFonts w:ascii="Times New Roman" w:hAnsi="Times New Roman" w:cs="Times New Roman" w:eastAsia="Times New Roman"/>
                <w:b w:val="false"/>
                <w:sz w:val="26"/>
              </w:rPr>
              <w:t>15-01-2016</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r>
        <w:tc>
          <w:p/>
          <w:p>
            <w:pPr>
              <w:spacing w:after="0" w:before="0" w:lineRule="auto" w:line="276"/>
              <w:jc w:val="left"/>
            </w:pPr>
            <w:r>
              <w:rPr>
                <w:rFonts w:ascii="Times New Roman" w:hAnsi="Times New Roman" w:cs="Times New Roman" w:eastAsia="Times New Roman"/>
                <w:b w:val="false"/>
                <w:sz w:val="26"/>
              </w:rPr>
              <w:t>04/2023/TT-BGDĐT</w:t>
            </w:r>
          </w:p>
        </w:tc>
        <w:tc>
          <w:p/>
          <w:p>
            <w:pPr>
              <w:spacing w:after="0" w:before="0" w:lineRule="auto" w:line="276"/>
              <w:jc w:val="left"/>
            </w:pPr>
            <w:r>
              <w:rPr>
                <w:rFonts w:ascii="Times New Roman" w:hAnsi="Times New Roman" w:cs="Times New Roman" w:eastAsia="Times New Roman"/>
                <w:b w:val="false"/>
                <w:sz w:val="26"/>
              </w:rPr>
              <w:t>Thông tư 04/2023/TT-BGDĐT</w:t>
            </w:r>
          </w:p>
        </w:tc>
        <w:tc>
          <w:p/>
          <w:p>
            <w:pPr>
              <w:spacing w:after="0" w:before="0" w:lineRule="auto" w:line="276"/>
              <w:jc w:val="left"/>
            </w:pPr>
            <w:r>
              <w:rPr>
                <w:rFonts w:ascii="Times New Roman" w:hAnsi="Times New Roman" w:cs="Times New Roman" w:eastAsia="Times New Roman"/>
                <w:b w:val="false"/>
                <w:sz w:val="26"/>
              </w:rPr>
              <w:t>23-02-2023</w:t>
            </w:r>
          </w:p>
        </w:tc>
        <w:tc>
          <w:p/>
        </w:tc>
      </w:tr>
      <w:tr>
        <w:tc>
          <w:p/>
          <w:p>
            <w:pPr>
              <w:spacing w:after="0" w:before="0" w:lineRule="auto" w:line="276"/>
              <w:jc w:val="left"/>
            </w:pPr>
            <w:r>
              <w:rPr>
                <w:rFonts w:ascii="Times New Roman" w:hAnsi="Times New Roman" w:cs="Times New Roman" w:eastAsia="Times New Roman"/>
                <w:b w:val="false"/>
                <w:sz w:val="26"/>
              </w:rPr>
              <w:t>TT 10/2025/TT-BGDĐT</w:t>
            </w:r>
          </w:p>
        </w:tc>
        <w:tc>
          <w:p/>
          <w:p>
            <w:pPr>
              <w:spacing w:after="0" w:before="0" w:lineRule="auto" w:line="276"/>
              <w:jc w:val="left"/>
            </w:pPr>
            <w:r>
              <w:rPr>
                <w:rFonts w:ascii="Times New Roman" w:hAnsi="Times New Roman" w:cs="Times New Roman" w:eastAsia="Times New Roman"/>
                <w:b w:val="false"/>
                <w:sz w:val="26"/>
              </w:rPr>
              <w:t>Thông tư số 10/2025/TT-BGDĐT ngày 12/6/2025 của Bộ trưởng Bộ Giáo dục và Đào tạo quy định về phân quyền, phân cấp và phân định thẩm quyền thực hiện nhiệm vụ quản lý nhà nước</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Thuộc đối tượng tuyển sinh quy định tại Điều 9 của Quy chế tổ chức và hoạt động của trường phổ thông dân tộc nội trú ban hành kèm theo Thông tư số 04/2023/TT-BGDĐT ngày 23 tháng 02 năm 2023 của Bộ trưởng Bộ Giáo dục và Đào tạo;
b) Đảm bảo các quy định tại Quy chế tuyển sinh trung học cơ sở và tuyển sinh trung học phổ thông do Bộ Giáo dục và Đào tạo ban hành.
c) Tuyển thẳng vào trường PTDTNT các đối tượng sau:
- Học sinh dân tộc thiểu số rất ít người quy định tại Nghị định số 57/2017/NĐ-CP ngày 09 tháng 5 năm 2017 của Chính phủ. ;
- Học sinh trung học cơ sở thuộc đối tượng quy định tại Điều 9 của Quy chế này đạt giải cấp quốc gia do Bộ Giáo dục và Đào tạo tổ chức hoặc phối hợp với các Bộ và cơ quan ngang bộ tổ chức trên quy mô toàn quốc đối với các cuộc thi, kì thi, hội thi (sau đây gọi chung là cuộc thi) về văn hóa, văn nghệ, thể thao, cuộc thi nghiên cứu khoa học, kỹ thuật; đạt giải cuộc thi quốc tế do Bộ trưởng Bộ Giáo dục và Đào tạo quyết định chọn cử”;</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Giáo dục Dân tộc</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2026-05-22T22:42:48Z</dcterms:created>
  <dc:creator>Apache POI</dc:creator>
</cp:coreProperties>
</file>