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thủ tục hành chính về 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dân nộp hồ sơ tại bộ phận tiếp nhận và trả kết quả hồ sơ hành chính (Bộ phận Một cửa) - UBND cấp xã.</w:t>
      </w:r>
    </w:p>
    <w:p>
      <w:pPr>
        <w:spacing w:after="0" w:before="0" w:lineRule="auto" w:line="276"/>
        <w:jc w:val="both"/>
      </w:pPr>
      <w:r>
        <w:rPr>
          <w:rFonts w:ascii="Times New Roman" w:hAnsi="Times New Roman" w:cs="Times New Roman" w:eastAsia="Times New Roman"/>
          <w:b w:val="false"/>
          <w:sz w:val="26"/>
        </w:rPr>
        <w:t>Bước 2: Cán bộ 1 cửa kiểm tra hồ sơ và thực hiện việc tiếp nhận đối với hồ sơ đảm bảo yêu cầu theo quy định; ghi giấy hẹn cho công dân.
- Trường hợp hồ sơ chưa đảm bảo theo quy định thì hướng dẫn công dân bổ sung, hoàn thiện hồ sơ.
- Trường hợp hồ sơ không thuộc thẩm quyền giải quyết thì hướng dẫn công dân tới cơ quan có thẩm quyền theo quy định.
</w:t>
      </w:r>
    </w:p>
    <w:p>
      <w:pPr>
        <w:spacing w:after="0" w:before="0" w:lineRule="auto" w:line="276"/>
        <w:jc w:val="both"/>
      </w:pPr>
      <w:r>
        <w:rPr>
          <w:rFonts w:ascii="Times New Roman" w:hAnsi="Times New Roman" w:cs="Times New Roman" w:eastAsia="Times New Roman"/>
          <w:b w:val="false"/>
          <w:sz w:val="26"/>
        </w:rPr>
        <w:t>Bước 3: Bộ phận Một cửa chuyển hồ sơ tới cơ quan chuyên môn theo quy định.
Cụ thể:
- Chuyển hồ sơ tới cán bộ Tư pháp - Hộ tịch thực hiện việc cấp đăng ký khai sinh;
- Sau khi nhận kết quả đăng ký khai sinh từ cán bộ Tư pháp - Hộ tịch (01 bản chính và 02 bản sao Giấy khai sinh), cán bộ Một cửa lập hồ sơ đăng ký thường trú và hồ sơ cấp thẻ bảo hiểm y tế chuyển Công an cấp huyện (qua cơ quan Công an cấp xã) và Bảo hiểm xã hội cấp huyện.
</w:t>
      </w:r>
    </w:p>
    <w:p>
      <w:pPr>
        <w:spacing w:after="0" w:before="0" w:lineRule="auto" w:line="276"/>
        <w:jc w:val="both"/>
      </w:pPr>
      <w:r>
        <w:rPr>
          <w:rFonts w:ascii="Times New Roman" w:hAnsi="Times New Roman" w:cs="Times New Roman" w:eastAsia="Times New Roman"/>
          <w:b w:val="false"/>
          <w:sz w:val="26"/>
        </w:rPr>
        <w:t>Bước 4:
- Công an cấp huyện tiếp nhận và kiểm tra hồ sơ do UBND cấp xã chuyển tới (qua công an cấp xã); thực hiện việc đăng ký thường trú và chuyển kết quả tới UBND cấp xã theo thời gian quy định.
- Bảo hiểm xã hội cấp huyện tiếp nhận và kiểm tra hồ sơ do UBND cấp xã chuyển tới; thực hiện việc cấp thẻ bảo hiểm y tế và chuyển kết quả cho UBND cấp xã trong thời gian quy định.
- Trường hợp cơ quan Công an hoặc Bảo hiểm xã hội có yêu cầu bổ sung, hoàn thiện hồ sơ thì cần thông báo tới UBND cấp xã để kịp thời thực hiện việc hoàn thiện hồ sơ theo quy định.
</w:t>
      </w:r>
    </w:p>
    <w:p>
      <w:pPr>
        <w:spacing w:after="0" w:before="0" w:lineRule="auto" w:line="276"/>
        <w:jc w:val="both"/>
      </w:pPr>
      <w:r>
        <w:rPr>
          <w:rFonts w:ascii="Times New Roman" w:hAnsi="Times New Roman" w:cs="Times New Roman" w:eastAsia="Times New Roman"/>
          <w:b w:val="false"/>
          <w:sz w:val="26"/>
        </w:rPr>
        <w:t>Bước 5: Sau khi nhận kết quả từ Công an cấp huyện và BHXH cấp huyên, bộ phận Một cửa tiếp nhận, vào sổ và chuyển trả kết quả cho công dân theo thời gian quy định (Giấy khai sinh; sổ hộ khẩu và thẻ bảo hiểm y tế).</w:t>
      </w:r>
    </w:p>
    <w:p>
      <w:pPr>
        <w:spacing w:after="0" w:before="0" w:lineRule="auto" w:line="276"/>
        <w:jc w:val="both"/>
      </w:pPr>
      <w:r>
        <w:rPr>
          <w:rFonts w:ascii="Times New Roman" w:hAnsi="Times New Roman" w:cs="Times New Roman" w:eastAsia="Times New Roman"/>
          <w:b w:val="false"/>
          <w:sz w:val="26"/>
        </w:rPr>
        <w:t>Chú ý:
- Trường hợp công dân có yêu cầu thực hiện nhận kết quả từng loại thủ tục trực tiếp tại cơ quan có thẩm quyền giải quyết (nhận Giấy khai sinh tại UBND cấp xã; nhận Thẻ bảo hiểm y tế tại Bảo hiểm xã hội cấp huyện ; nhận Sổ hộ khẩu tại Công an cấp huyện) thì khi nộp hồ sơ tại UBND cấp xã phải yêu cầu cụ thể để ghi vào Phiếu hẹn.
- Trường hợp công dân yêu cầu nhận kết quả qua dịch vụ bưu điện (nếu có) thì khi nộp hồ sơ công dân đăng ký tại Bộ phận Một cửa và nhận kết quả tại nhà theo yêu cầu.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Không quá 20 ngày làm việc kể từ ngày nộp đủ hồ sơ hợp lệ theo quy định đối với thủ tục liên thông về đăng ký khai sinh; đăng ký thường trú và cấp thẻ bảo hiểm y tế cho trẻ em dưới 06 tuổi. - Không quá 10 ngày làm việc kể từ ngày nộp đủ hồ sơ hợp lệ theo quy định đối với việc thực hiện liên thông các thủ tục về đăng ký khai sinh, đăng ký thường trú và cấp thẻ bảo hiểm y tế trong trường hợp đăng ký thường trú cho trẻ em mới sinh từ 01 đến 60 ngày tuổi mà có bố, mẹ cùng hộ khẩu. - Trường hợp hồ sơ hoặc thông tin không đảm bảo theo quy định, Bộ phận Một cửa của UBND cấp xã phải hoàn thiện hồ sơ theo yêu cầu cơ quan Công an hoặc Bảo hiểm y tế thì thời hạn giải quyết được kéo dài thêm không quá 02 ngày làm việc. - Trường hợp trụ sở UBND cấp xã cách xa trụ sở cơ quan Bảo hiểm xã hội cấp huyện hoặc Công dân cấp huyện từ 50 lần trở lên, giao thông đi lại khó khăn, chưa có kết nối internet thì thời hạn trả kết quả được kéo dài thêm nhưng không quá 05 ngày làm việc. </w:t>
            </w:r>
          </w:p>
        </w:tc>
        <w:tc>
          <w:p/>
          <w:p>
            <w:pPr>
              <w:spacing w:after="0" w:before="0" w:lineRule="auto" w:line="276"/>
              <w:jc w:val="left"/>
            </w:pPr>
            <w:r>
              <w:rPr>
                <w:rFonts w:ascii="Times New Roman" w:hAnsi="Times New Roman" w:cs="Times New Roman" w:eastAsia="Times New Roman"/>
                <w:b w:val="false"/>
                <w:sz w:val="26"/>
              </w:rPr>
              <w:t>Phí : Không quá 8.000 đồng/bản sao trích lục/ sự kiện hộ tịch đã đăng ký Đồng</w:t>
              <w:t xml:space="preserve"> (Phí khai thác, sử dụng thông tin trong cơ sở dữ liệu hộ tịch)</w:t>
              <w:br/>
              <w:t>File đính kèm: VanBanGoc_20.2016.NQ.HĐND.pdf</w:t>
            </w:r>
          </w:p>
          <w:p>
            <w:pPr>
              <w:spacing w:after="0" w:before="0" w:lineRule="auto" w:line="276"/>
              <w:jc w:val="left"/>
            </w:pPr>
            <w:r>
              <w:rPr>
                <w:rFonts w:ascii="Times New Roman" w:hAnsi="Times New Roman" w:cs="Times New Roman" w:eastAsia="Times New Roman"/>
                <w:b w:val="false"/>
                <w:sz w:val="26"/>
              </w:rPr>
              <w:t xml:space="preserve">Phí : Phí khai thác, sử dụng thông tin trong cơ sở dữ liệu hộ tịch là Phí cấp bản sao Trích lục hộ tịch  </w:t>
              <w:t xml:space="preserve"> (Theo Nghị Quyết 20/2016/NQ-HĐND ngày 06/12/2016 của Hội đồng nhân dân thành phố Hà Nội)</w:t>
              <w:br/>
              <w:t>File đính kèm: VanBanGoc_20.2016.NQ.HĐND.pdf</w:t>
            </w:r>
          </w:p>
          <w:p>
            <w:pPr>
              <w:spacing w:after="0" w:before="0" w:lineRule="auto" w:line="276"/>
              <w:jc w:val="left"/>
            </w:pPr>
            <w:r>
              <w:rPr>
                <w:rFonts w:ascii="Times New Roman" w:hAnsi="Times New Roman" w:cs="Times New Roman" w:eastAsia="Times New Roman"/>
                <w:b w:val="false"/>
                <w:sz w:val="26"/>
              </w:rPr>
              <w:t xml:space="preserve">Phí :  </w:t>
              <w:t xml:space="preserve"> (Những trường hợp đăng ký thường trú còn lại thu lệ phí theo quy định hiện hành)</w:t>
              <w:br/>
              <w:t>File đính kèm: VanBanGoc_NQ_09_2018.pdf</w:t>
            </w:r>
          </w:p>
          <w:p>
            <w:pPr>
              <w:spacing w:after="0" w:before="0" w:lineRule="auto" w:line="276"/>
              <w:jc w:val="left"/>
            </w:pPr>
            <w:r>
              <w:rPr>
                <w:rFonts w:ascii="Times New Roman" w:hAnsi="Times New Roman" w:cs="Times New Roman" w:eastAsia="Times New Roman"/>
                <w:b w:val="false"/>
                <w:sz w:val="26"/>
              </w:rPr>
              <w:t xml:space="preserve">Phí :  </w:t>
              <w:t xml:space="preserve"> (Những trường hợp miễn hoặc không thu lệ phí: Đăng ký thường trú lần đầu; Đăng ký hộ tịch cho người thuộc gia đình có công với cách mạng, người thuộc hộ nghèo, người khuyết tật; Đăng ký khai sinh đúng hạn, khai tử đúng hạn, đăng ký giám hộ, chấm dứt giám hộ, đăng ký kết hôn của công dân Việt Nam cư trú ở trong nước, thực hiện tại UBND cấp xã)</w:t>
              <w:br/>
              <w:t>File đính kèm: VanBanGoc_NQ_09_2018.pdf</w:t>
            </w:r>
          </w:p>
        </w:tc>
        <w:tc>
          <w:p/>
          <w:p>
            <w:pPr>
              <w:spacing w:after="0" w:before="0" w:lineRule="auto" w:line="276"/>
              <w:jc w:val="left"/>
            </w:pPr>
            <w:r>
              <w:rPr>
                <w:rFonts w:ascii="Times New Roman" w:hAnsi="Times New Roman" w:cs="Times New Roman" w:eastAsia="Times New Roman"/>
                <w:b w:val="false"/>
                <w:sz w:val="26"/>
              </w:rPr>
              <w:t>Người yêu cầu nộp hồ sơ liên thông trực tiếp hoặc uỷ quyền cho người khác nộp hồ sơ tại Bộ phận Một cửa - UBND cấp xã nơi đăng ký thường trú của cha/mẹ hoặc người nuôi dưỡng trẻ. Công dân có thể lựa chọn việc thực hiện các thủ tục này theo hình thức liên thông hoặc thực hiện từng thủ tục riêng lẻ.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 quy định); Sổ hộ khẩu của cha, mẹ (bản chính) hoặc Sổ hộ khẩu của mẹ (bản chính) đối với trường hợp trẻ em đăng ký thường trú theo mẹ hoặc Sổ hộ khẩu của cha (bản chính) đối với trường hợp trẻ em đăng ký thường trú theo cha hoặc Sổ hộ khẩu của người nuôi dưỡng, chăm sóc trẻ (bản chính) đối với trường hợp trẻ em không đăng ký thường trú theo cha, mẹ, bản sao Giấy khai sinh của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không đăng ký thường trú cùng hộ khẩu với cha, mẹ mà đăng ký thường trú theo hộ khẩu của người khác thì ngoài bản sao Giấy khai sinh, phải có ý kiến bằng văn bản của cha, mẹ, có xác nhận của Ủy ban nhân dân cấp xã, ý kiến đồng ý của chủ hộ và Sổ hộ khẩu của chủ hộ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 Bảo hiểm xã hội cấp huyện,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Bộ phận Một cửa - Ủy ban nhân dân cấp xã nơi trẻ có cha, mẹ hoặc người nuôi dưỡng đăng ký thường trú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Thông báo kết quả giải quyết thủ tục về cư trú, hủy bỏ thủ tục về cư trú, Phiếu từ chối tiếp nhận, giải quyết hồ sơ (lĩnh vực cư trú), 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Thông tư liên tich 05/2015/TTLT-BTP-BCA-BYT</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281/2016/TT-BTC </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20/2016/NQ-HĐND</w:t>
            </w:r>
          </w:p>
        </w:tc>
        <w:tc>
          <w:p/>
          <w:p>
            <w:pPr>
              <w:spacing w:after="0" w:before="0" w:lineRule="auto" w:line="276"/>
              <w:jc w:val="left"/>
            </w:pPr>
            <w:r>
              <w:rPr>
                <w:rFonts w:ascii="Times New Roman" w:hAnsi="Times New Roman" w:cs="Times New Roman" w:eastAsia="Times New Roman"/>
                <w:b w:val="false"/>
                <w:sz w:val="26"/>
              </w:rPr>
              <w:t>Nghị quyết 20/2016/NQ-HĐND</w:t>
            </w:r>
          </w:p>
        </w:tc>
        <w:tc>
          <w:p/>
          <w:p>
            <w:pPr>
              <w:spacing w:after="0" w:before="0" w:lineRule="auto" w:line="276"/>
              <w:jc w:val="left"/>
            </w:pPr>
            <w:r>
              <w:rPr>
                <w:rFonts w:ascii="Times New Roman" w:hAnsi="Times New Roman" w:cs="Times New Roman" w:eastAsia="Times New Roman"/>
                <w:b w:val="false"/>
                <w:sz w:val="26"/>
              </w:rPr>
              <w:t>06-12-2016</w:t>
            </w:r>
          </w:p>
        </w:tc>
        <w:tc>
          <w:p/>
        </w:tc>
      </w:tr>
      <w:tr>
        <w:tc>
          <w:p/>
          <w:p>
            <w:pPr>
              <w:spacing w:after="0" w:before="0" w:lineRule="auto" w:line="276"/>
              <w:jc w:val="left"/>
            </w:pPr>
            <w:r>
              <w:rPr>
                <w:rFonts w:ascii="Times New Roman" w:hAnsi="Times New Roman" w:cs="Times New Roman" w:eastAsia="Times New Roman"/>
                <w:b w:val="false"/>
                <w:sz w:val="26"/>
              </w:rPr>
              <w:t>09/2018/NQ-HĐND</w:t>
            </w:r>
          </w:p>
        </w:tc>
        <w:tc>
          <w:p/>
          <w:p>
            <w:pPr>
              <w:spacing w:after="0" w:before="0" w:lineRule="auto" w:line="276"/>
              <w:jc w:val="left"/>
            </w:pPr>
            <w:r>
              <w:rPr>
                <w:rFonts w:ascii="Times New Roman" w:hAnsi="Times New Roman" w:cs="Times New Roman" w:eastAsia="Times New Roman"/>
                <w:b w:val="false"/>
                <w:sz w:val="26"/>
              </w:rPr>
              <w:t>Nghị quyết 09/2018/NQ-HĐND</w:t>
            </w:r>
          </w:p>
        </w:tc>
        <w:tc>
          <w:p/>
          <w:p>
            <w:pPr>
              <w:spacing w:after="0" w:before="0" w:lineRule="auto" w:line="276"/>
              <w:jc w:val="left"/>
            </w:pPr>
            <w:r>
              <w:rPr>
                <w:rFonts w:ascii="Times New Roman" w:hAnsi="Times New Roman" w:cs="Times New Roman" w:eastAsia="Times New Roman"/>
                <w:b w:val="false"/>
                <w:sz w:val="26"/>
              </w:rPr>
              <w:t>05-12-2018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của tỉnh hoặc cùng thuộc địa bàn một quận, huyện, thị xã của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2026-05-21T16:37:02Z</dcterms:created>
  <dc:creator>Apache POI</dc:creator>
</cp:coreProperties>
</file>