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1.004991.000.00.00.H18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trung học phổ thông chuyên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giải thể trường trung học phổ thông chuyên được thực hiện như đối với trường trung học phổ thông:</w:t>
      </w:r>
    </w:p>
    <w:p>
      <w:pPr>
        <w:spacing w:after="0" w:before="0" w:lineRule="auto" w:line="276"/>
        <w:jc w:val="both"/>
      </w:pPr>
      <w:r>
        <w:rPr>
          <w:rFonts w:ascii="Times New Roman" w:hAnsi="Times New Roman" w:cs="Times New Roman" w:eastAsia="Times New Roman"/>
          <w:b w:val="false"/>
          <w:sz w:val="26"/>
        </w:rPr>
        <w:t>a) Cơ quan, tổ chức, cá nhân gửi 01 bộ hồ sơ quy định tại điểm b khoản 3 Điều 22 Phụ lục II kèm theo Nghị định 142/2025/NĐ-CP) qua cổng dịch vụ công trực tuyến hoặc bưu chính hoặc trực tiếp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 Trong thời hạn 20 ngày làm việc, kể từ ngày nhận được hồ sơ đề nghị giải thể trường trung học, Sở Giáo dục và Đào tạo tham mưu cho UBND tỉnh quyết định việc giải thể trường trung học phổ thông chuyên; nếu chưa quyết định giải thể thì thông báo bằng văn bản cho cơ quan, tổ chức, cá nhân đề nghị giải thể và nêu rõ lý do.</w:t>
      </w:r>
    </w:p>
    <w:p>
      <w:pPr>
        <w:spacing w:after="0" w:before="0" w:lineRule="auto" w:line="276"/>
        <w:jc w:val="both"/>
      </w:pPr>
      <w:r>
        <w:rPr>
          <w:rFonts w:ascii="Times New Roman" w:hAnsi="Times New Roman" w:cs="Times New Roman" w:eastAsia="Times New Roman"/>
          <w:b w:val="false"/>
          <w:sz w:val="26"/>
        </w:rPr>
        <w:t>Quyết định giải thể trường trung học phổ thông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giải thể của cơ quan, tổ chức, cá nhân thành lập trường (theo Mẫu số 06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Mauso06PLII.doc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giải thể trường trung học (theo Mẫu số 07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Mauso07PLII.doc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trung học phổ thông chuyên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2026-05-22T22:45:55Z</dcterms:created>
  <dc:creator>Apache POI</dc:creator>
</cp:coreProperties>
</file>