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kinh doanh cho tổ chức kinh tế có vốn đầu tư nước ngoài để thực hiện các dịch vụ khác quy định tại khoản d, đ, e, g, h, i Điều 5 Nghị định 09/2018/NĐ-CP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Sở Công Thương cấp Giấy phép kinh doanh. Trường hợp Bộ Công Thương có văn bản từ chối, Sở Công Thương có văn bản trả lời và nêu rõ lý do. </w:t>
      </w:r>
    </w:p>
    <w:p>
      <w:pPr>
        <w:spacing w:after="0" w:before="0" w:lineRule="auto" w:line="276"/>
        <w:jc w:val="both"/>
      </w:pPr>
      <w:r>
        <w:rPr>
          <w:rFonts w:ascii="Times New Roman" w:hAnsi="Times New Roman" w:cs="Times New Roman" w:eastAsia="Times New Roman"/>
          <w:b w:val="false"/>
          <w:sz w:val="26"/>
        </w:rPr>
        <w:t xml:space="preserve">- Tổ chức kinh tế có vốn đầu tư nước ngoài đề nghị cấp Giấy phép kinh doanh lập 02 bộ hồ sơ gửi trực tiếp hoặc qua đường bưu chính hoặc hệ thống dịch vụ công trực tuyến đến Sở Công Thương nơi tổ chức kinh tế đặt trụ sở chính. </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Sở Công Thương thông báo để tổ chức, cá nhân bổ sung, hoàn chỉnh hồ sơ. Thời gian hoàn chỉnh hồ sơ không được tính vào thời gian cấp Giấy phép kinh doanh;</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đủ hồ sơ hợp lệ quy định Sở Công Thương nơi tổ chức kinh tế có vốn đầu tư nước ngoài đặt trụ sở chính có trách nhiệm xem xét việc đáp ứng điều kiện.</w:t>
      </w:r>
    </w:p>
    <w:p>
      <w:pPr>
        <w:spacing w:after="0" w:before="0" w:lineRule="auto" w:line="276"/>
        <w:jc w:val="both"/>
      </w:pPr>
      <w:r>
        <w:rPr>
          <w:rFonts w:ascii="Times New Roman" w:hAnsi="Times New Roman" w:cs="Times New Roman" w:eastAsia="Times New Roman"/>
          <w:b w:val="false"/>
          <w:sz w:val="26"/>
        </w:rPr>
        <w:t>+ Trường hợp không cấp Giấy phép kinh doanh, Sở Công Thương phải có văn bản trả lời và nêu rõ lý do.</w:t>
      </w:r>
    </w:p>
    <w:p>
      <w:pPr>
        <w:spacing w:after="0" w:before="0" w:lineRule="auto" w:line="276"/>
        <w:jc w:val="both"/>
      </w:pPr>
      <w:r>
        <w:rPr>
          <w:rFonts w:ascii="Times New Roman" w:hAnsi="Times New Roman" w:cs="Times New Roman" w:eastAsia="Times New Roman"/>
          <w:b w:val="false"/>
          <w:sz w:val="26"/>
        </w:rPr>
        <w:t xml:space="preserve">+ Trường hợp đáp ứng điều kiện, Sở Công Thương gửi hồ sơ kèm văn bản lấy ý kiến Bộ Công Thương. </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Bộ Công Thương xem xét các nội dung tương ứng quy định tại Điều 10 Nghị định 09/2018/NĐ-CP ngày 15/01/2018 để có văn bản chấp thuận cấp Giấy phép kinh doanh; trường hợp từ chối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Nộp trực tiếp tại Sở Công Thương nơi tổ chức kinh tế có vốn đầu tư nước ngoài đặt trụ sở chính.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Mức độ 4, Qua hệ thống dịch vụ công trực tuyến (nếu đủ điều kiện áp dụng).
28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điện.
28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(Mẫu số 01 tại Phụ lục ban hành kèm theo Nghị định 09/2018/NĐ-CP ngày 15/01/2018)</w:t>
            </w:r>
          </w:p>
        </w:tc>
        <w:tc>
          <w:p/>
          <w:p>
            <w:pPr>
              <w:spacing w:after="0" w:before="0" w:lineRule="auto" w:line="276"/>
              <w:jc w:val="left"/>
            </w:pPr>
            <w:r>
              <w:rPr>
                <w:rFonts w:ascii="Times New Roman" w:hAnsi="Times New Roman" w:cs="Times New Roman" w:eastAsia="Times New Roman"/>
                <w:b w:val="false"/>
                <w:sz w:val="26"/>
              </w:rPr>
              <w:t>01MĐ-Đơn cấp GPKD.doc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 theo quy định tại khoản 2 Điều 12 Nghị định 09/2018/NĐ-CP ngày 15/01/2018 của Chính phủ</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dự án hoạt động mua bán hàng hóa và các hoạt động liên quan trực tiếp đến mua bán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HOẠT ĐỘNG MUA BÁN HÀNG HÓA VÀ CÁC HOẠT ĐỘNG LIÊN QUAN TRỰC TIẾP ĐẾN MUA BÁN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thực hiện hoạt động đề nghị cấp Giấy phép kinh doanh;
- Không còn nợ thuế quá hạn trong trường hợp đã thành lập tại Việt Nam từ 01 năm trở lên.
- Đáp ứng các tiêu chí:
+ Phù hợp với quy định của pháp luật chuyên ngành;
+ Phù hợp với mức độ cạnh tranh của doanh nghiệp trong nước trong cùng lĩnh vực hoạt động;
+ Khả năng tạo việc làm cho lao động trong nước;
+ Khả năng và mức độ đóng góp cho ngân sách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2026-05-29T16:48:20Z</dcterms:created>
  <dc:creator>Apache POI</dc:creator>
</cp:coreProperties>
</file>