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tư vấn viên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Tư vấn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cấp Thẻ tư vấn viên pháp luật gửi 01 bộ hồ sơ trực tiếp hoặc qua hệ thống bưu chính đến Bộ phận tiếp nhận và Trả kết quả thuộc Văn phòng Sở Tư pháp tỉnh Điện Biên</w:t>
      </w:r>
    </w:p>
    <w:p>
      <w:pPr>
        <w:spacing w:after="0" w:before="0" w:lineRule="auto" w:line="276"/>
        <w:jc w:val="both"/>
      </w:pPr>
      <w:r>
        <w:rPr>
          <w:rFonts w:ascii="Times New Roman" w:hAnsi="Times New Roman" w:cs="Times New Roman" w:eastAsia="Times New Roman"/>
          <w:b w:val="false"/>
          <w:sz w:val="26"/>
        </w:rPr>
        <w:t>- Trong thời hạn năm ngày làm việc, kể từ ngày nhận đủ hồ sơ hợp lệ, Sở Tư pháp, nơi Trung tâm tư vấn pháp luật đăng ký hoạt động có trách nhiệm cấp Thẻ tư vấn viên pháp luật cho người đủ điều kiện; trong trường hợp từ chối, phải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Thẻ tư vấn viên pháp luật</w:t>
            </w:r>
          </w:p>
        </w:tc>
        <w:tc>
          <w:p/>
          <w:p>
            <w:pPr>
              <w:spacing w:after="0" w:before="0" w:lineRule="auto" w:line="276"/>
              <w:jc w:val="left"/>
            </w:pPr>
            <w:r>
              <w:rPr>
                <w:rFonts w:ascii="Times New Roman" w:hAnsi="Times New Roman" w:cs="Times New Roman" w:eastAsia="Times New Roman"/>
                <w:b w:val="false"/>
                <w:sz w:val="26"/>
              </w:rPr>
              <w:t>MauTP-TVPL-05-s.docx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Bằng cử nhân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về thời gian công tác pháp luật của người được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Thẻ tư vấn viên pháp luật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01/2010/TT-BTP</w:t>
            </w:r>
          </w:p>
        </w:tc>
        <w:tc>
          <w:p/>
          <w:p>
            <w:pPr>
              <w:spacing w:after="0" w:before="0" w:lineRule="auto" w:line="276"/>
              <w:jc w:val="left"/>
            </w:pPr>
            <w:r>
              <w:rPr>
                <w:rFonts w:ascii="Times New Roman" w:hAnsi="Times New Roman" w:cs="Times New Roman" w:eastAsia="Times New Roman"/>
                <w:b w:val="false"/>
                <w:sz w:val="26"/>
              </w:rPr>
              <w:t>Thông tư 01/2010/TT-BTP</w:t>
            </w:r>
          </w:p>
        </w:tc>
        <w:tc>
          <w:p/>
          <w:p>
            <w:pPr>
              <w:spacing w:after="0" w:before="0" w:lineRule="auto" w:line="276"/>
              <w:jc w:val="left"/>
            </w:pPr>
            <w:r>
              <w:rPr>
                <w:rFonts w:ascii="Times New Roman" w:hAnsi="Times New Roman" w:cs="Times New Roman" w:eastAsia="Times New Roman"/>
                <w:b w:val="false"/>
                <w:sz w:val="26"/>
              </w:rPr>
              <w:t>09-02-2010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77/2008/NĐ-CP</w:t>
            </w:r>
          </w:p>
        </w:tc>
        <w:tc>
          <w:p/>
          <w:p>
            <w:pPr>
              <w:spacing w:after="0" w:before="0" w:lineRule="auto" w:line="276"/>
              <w:jc w:val="left"/>
            </w:pPr>
            <w:r>
              <w:rPr>
                <w:rFonts w:ascii="Times New Roman" w:hAnsi="Times New Roman" w:cs="Times New Roman" w:eastAsia="Times New Roman"/>
                <w:b w:val="false"/>
                <w:sz w:val="26"/>
              </w:rPr>
              <w:t>Nghị định 77/2008/NĐ-CP</w:t>
            </w:r>
          </w:p>
        </w:tc>
        <w:tc>
          <w:p/>
          <w:p>
            <w:pPr>
              <w:spacing w:after="0" w:before="0" w:lineRule="auto" w:line="276"/>
              <w:jc w:val="left"/>
            </w:pPr>
            <w:r>
              <w:rPr>
                <w:rFonts w:ascii="Times New Roman" w:hAnsi="Times New Roman" w:cs="Times New Roman" w:eastAsia="Times New Roman"/>
                <w:b w:val="false"/>
                <w:sz w:val="26"/>
              </w:rPr>
              <w:t>16-07-2008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05/2012/NĐ-CP</w:t>
            </w:r>
          </w:p>
        </w:tc>
        <w:tc>
          <w:p/>
          <w:p>
            <w:pPr>
              <w:spacing w:after="0" w:before="0" w:lineRule="auto" w:line="276"/>
              <w:jc w:val="left"/>
            </w:pPr>
            <w:r>
              <w:rPr>
                <w:rFonts w:ascii="Times New Roman" w:hAnsi="Times New Roman" w:cs="Times New Roman" w:eastAsia="Times New Roman"/>
                <w:b w:val="false"/>
                <w:sz w:val="26"/>
              </w:rPr>
              <w:t>Nghị định 05/2012/NĐ-CP</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19/2011/TT-BTP</w:t>
            </w:r>
          </w:p>
        </w:tc>
        <w:tc>
          <w:p/>
          <w:p>
            <w:pPr>
              <w:spacing w:after="0" w:before="0" w:lineRule="auto" w:line="276"/>
              <w:jc w:val="left"/>
            </w:pPr>
            <w:r>
              <w:rPr>
                <w:rFonts w:ascii="Times New Roman" w:hAnsi="Times New Roman" w:cs="Times New Roman" w:eastAsia="Times New Roman"/>
                <w:b w:val="false"/>
                <w:sz w:val="26"/>
              </w:rPr>
              <w:t>Thông tư 19/2011/TT-BTP</w:t>
            </w:r>
          </w:p>
        </w:tc>
        <w:tc>
          <w:p/>
          <w:p>
            <w:pPr>
              <w:spacing w:after="0" w:before="0" w:lineRule="auto" w:line="276"/>
              <w:jc w:val="left"/>
            </w:pPr>
            <w:r>
              <w:rPr>
                <w:rFonts w:ascii="Times New Roman" w:hAnsi="Times New Roman" w:cs="Times New Roman" w:eastAsia="Times New Roman"/>
                <w:b w:val="false"/>
                <w:sz w:val="26"/>
              </w:rPr>
              <w:t>31-10-2011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Tư vấn viên pháp luật phải có đủ các điều kiện theo quy định tại khoản 1, Điều 19 của Nghị định số 77/2008/NĐ-CP, cụ thể như sau: 
- Có năng lực hành vi dân sự đầy đủ, có phẩm chất đạo đức tốt, không phải là người đang bị truy cứu trách nhiệm hình sự hoặc đã bị kết án mà chưa được xoá án tích;
- Có Bằng cử nhân luật;
- Có thời gian công tác pháp luật từ ba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2026-05-30T19:49:56Z</dcterms:created>
  <dc:creator>Apache POI</dc:creator>
</cp:coreProperties>
</file>