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1.002368.000.00.00.H18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đăng ký hoạt động của chi nhánh, công ty luật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trường hợp Giấy đăng ký hoạt động của chi nhánh, công ty luật nước ngoài bị mất, bị rách, bị cháy hoặc vì lý do khách quan mà thông tin trên Giấy đăng ký hoạt động, chi nhánh, công ty luật nước ngoài gửi hồ sơ đề nghị cấp lại Giấy đăng ký hoạt động đến Trung tâm Phục vụ hành chính công tỉnh Điện Biên hoặc Trung tâm Phục vụ hành chính công cấp xã nơi có trụ sở của chi nhánh, công ty luật nước ngoài. Trung tâm Phục vụ hành chính công chuyển hồ sơ về Sở Tư pháp để giải quyết.
- Trong thời hạn mười ngày làm việc, kể từ ngày nhận đủ hồ sơ hợp lệ, Sở Tư pháp cấp lại Giấy đăng ký hoạt động cho chi nhánh, công ty luật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2.000.000 đồng/ hồ sơ </w:t>
              <w:t xml:space="preserve"> (áp dụng mức phí 1.000.000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Trong thời hạn mười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2.000.000 đồng/ hồ sơ </w:t>
              <w:t xml:space="preserve"> (áp dụng mức phí 1.000.000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Trong thời hạn mười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2.000.000 đồng/ hồ sơ </w:t>
              <w:t xml:space="preserve"> (áp dụng mức phí 1.000.000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Trong thời hạn mười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về trụ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thành lập chi nhánh, công ty luật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cấp lại Giấy đăng ký hoạt động của chi nhánh, công ty luật nước ngoài, trong đó nêu rõ lý do, số Giấy đăng ký hoạt động</w:t>
            </w:r>
          </w:p>
        </w:tc>
        <w:tc>
          <w:p/>
          <w:p>
            <w:pPr>
              <w:spacing w:after="0" w:before="0" w:lineRule="auto" w:line="276"/>
              <w:jc w:val="left"/>
            </w:pPr>
            <w:r>
              <w:rPr>
                <w:rFonts w:ascii="Times New Roman" w:hAnsi="Times New Roman" w:cs="Times New Roman" w:eastAsia="Times New Roman"/>
                <w:b w:val="false"/>
                <w:sz w:val="26"/>
              </w:rPr>
              <w:t>26.TP-LS-26.GiaydenghicaplaithaydoiDKHDCNCTLNN.doc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ĐKHĐ Công ty Luật TNHH dưới hình thức liên doanh tại Việt Nam, Giấy ĐKHĐ Công ty Luật Hợp danh giữa tổ chức hành nghề luật sư nước ngoài và Công ty Luật hợp danh Việt Nam, Giấy ĐKHĐ của Công ty Luật TNHH 100% vốn nước ngoài tại Việt Nam, Giấy ĐKHĐ Chi nhánh của tổ chức hành nghề luật sư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17/2011/TT-BTP	</w:t>
            </w:r>
          </w:p>
        </w:tc>
        <w:tc>
          <w:p/>
          <w:p>
            <w:pPr>
              <w:spacing w:after="0" w:before="0" w:lineRule="auto" w:line="276"/>
              <w:jc w:val="left"/>
            </w:pPr>
            <w:r>
              <w:rPr>
                <w:rFonts w:ascii="Times New Roman" w:hAnsi="Times New Roman" w:cs="Times New Roman" w:eastAsia="Times New Roman"/>
                <w:b w:val="false"/>
                <w:sz w:val="26"/>
              </w:rPr>
              <w:t>Thông tư 17/2011/TT-BTP</w:t>
            </w:r>
          </w:p>
        </w:tc>
        <w:tc>
          <w:p/>
          <w:p>
            <w:pPr>
              <w:spacing w:after="0" w:before="0" w:lineRule="auto" w:line="276"/>
              <w:jc w:val="left"/>
            </w:pPr>
            <w:r>
              <w:rPr>
                <w:rFonts w:ascii="Times New Roman" w:hAnsi="Times New Roman" w:cs="Times New Roman" w:eastAsia="Times New Roman"/>
                <w:b w:val="false"/>
                <w:sz w:val="26"/>
              </w:rPr>
              <w:t>14-10-2011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20/2012/QH13</w:t>
            </w:r>
          </w:p>
        </w:tc>
        <w:tc>
          <w:p/>
          <w:p>
            <w:pPr>
              <w:spacing w:after="0" w:before="0" w:lineRule="auto" w:line="276"/>
              <w:jc w:val="left"/>
            </w:pPr>
            <w:r>
              <w:rPr>
                <w:rFonts w:ascii="Times New Roman" w:hAnsi="Times New Roman" w:cs="Times New Roman" w:eastAsia="Times New Roman"/>
                <w:b w:val="false"/>
                <w:sz w:val="26"/>
              </w:rPr>
              <w:t>Luật 20/2012/QH13</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220/2016/TT-BTC</w:t>
            </w:r>
          </w:p>
        </w:tc>
        <w:tc>
          <w:p/>
          <w:p>
            <w:pPr>
              <w:spacing w:after="0" w:before="0" w:lineRule="auto" w:line="276"/>
              <w:jc w:val="left"/>
            </w:pPr>
            <w:r>
              <w:rPr>
                <w:rFonts w:ascii="Times New Roman" w:hAnsi="Times New Roman" w:cs="Times New Roman" w:eastAsia="Times New Roman"/>
                <w:b w:val="false"/>
                <w:sz w:val="26"/>
              </w:rPr>
              <w:t>Thông tư số 220/2016/TT-BTC của Bộ trưởng Bộ Tài chính ngày 10/11/2016 quy định mức thu, chế độ thu, nộp, quản lý phí, lệ phí trong lĩnh vực hoạt động luật sư</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Luật 65/2006/QH11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05/2021/TT-BTP</w:t>
            </w:r>
          </w:p>
        </w:tc>
        <w:tc>
          <w:p/>
          <w:p>
            <w:pPr>
              <w:spacing w:after="0" w:before="0" w:lineRule="auto" w:line="276"/>
              <w:jc w:val="left"/>
            </w:pPr>
            <w:r>
              <w:rPr>
                <w:rFonts w:ascii="Times New Roman" w:hAnsi="Times New Roman" w:cs="Times New Roman" w:eastAsia="Times New Roman"/>
                <w:b w:val="false"/>
                <w:sz w:val="26"/>
              </w:rPr>
              <w:t>Thông tư số 05/2021/TT-BTP ngày 24/6/2021 của Bộ Tư pháp hướng dẫn một số điều và biện pháp thi hành Luật Luật sư, Nghị định quy định quy chi tiết một số điều và biện pháp thi hành Luật Luật sư</w:t>
            </w:r>
          </w:p>
        </w:tc>
        <w:tc>
          <w:p/>
          <w:p>
            <w:pPr>
              <w:spacing w:after="0" w:before="0" w:lineRule="auto" w:line="276"/>
              <w:jc w:val="left"/>
            </w:pPr>
            <w:r>
              <w:rPr>
                <w:rFonts w:ascii="Times New Roman" w:hAnsi="Times New Roman" w:cs="Times New Roman" w:eastAsia="Times New Roman"/>
                <w:b w:val="false"/>
                <w:sz w:val="26"/>
              </w:rPr>
              <w:t>24-06-2021</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2026-05-22T16:05:06Z</dcterms:created>
  <dc:creator>Apache POI</dc:creator>
</cp:coreProperties>
</file>