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động vật rừng thông thường từ tự nhiên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cá nhân, hộ gia đình, cộng đồng dân cư khai thác động vật rừng thông thường từ tự nhiên nộp trực tiếp hoặc qua dịch vụ bưu chính hoặc qua môi trường điện tử 01 bộ hồ sơ đến Hạt Kiểm lâm sở tại. Trường hợp nộp hồ sơ qua môi trường điện tử thực hiện theo quy định của pháp luật về thực hiện thủ tục hành chính trên môi trường điện tử;
b)	Bước 2: Tiếp nhận hồ sơ
-	Trường hợp nộp hồ sơ trực tiếp: Hạt Kiểm lâm sở tại kiểm tra thành phần hồ sơ và trả lời ngay tính hợp lệ của thành phần hồ sơ cho tổ chức, cá nhân, hộ gia đình, cộng đồng dân cư.
-	Trường hợp nộp hồ sơ qua dịch vụ bưu chính hoặc qua môi trường điện tử: Trong thời hạn 01 ngày làm việc kể từ ngày nhận được hồ sơ, Hạt Kiểm lâm sở tại xem xét tính hợp lệ của thành phần hồ sơ; trường hợp hồ sơ không hợp lệ theo quy định, thông báo bằng văn bản và nêu rõ lý do.
c)	Bước 3: Thẩm định và trả kết quả
Trong thời hạn 06 ngày làm việc kể từ ngày nhận được hồ sơ hợp lệ, UBND xã  phê duyệt phương án khai thác và trả kết quả cho tổ chức, cá nhân, hộ gia đình, cộng đồng dân cư;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động vật rừng thông thường từ tự nhiên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Phương án khai thác động vật rừng thông thường từ tự nhiên theo Mẫu số 12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Kiểm lâm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Kiểm lâm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Hạt Kiểm lâm Sở tại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Nông Nghiệp và Môi trường - tỉnh Quảng Trị</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Phương án khai thác động vật rừng thông thường từ tự nhiên.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27/2018/TT-BNNPTNT</w:t>
            </w:r>
          </w:p>
        </w:tc>
        <w:tc>
          <w:p/>
          <w:p>
            <w:pPr>
              <w:spacing w:after="0" w:before="0" w:lineRule="auto" w:line="276"/>
              <w:jc w:val="left"/>
            </w:pPr>
            <w:r>
              <w:rPr>
                <w:rFonts w:ascii="Times New Roman" w:hAnsi="Times New Roman" w:cs="Times New Roman" w:eastAsia="Times New Roman"/>
                <w:b w:val="false"/>
                <w:sz w:val="26"/>
              </w:rPr>
              <w:t>Thông tư 27/2018/TT-BNNPTNT</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 26/2022/TT-BNNPTNT</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26/2025/TT-BNNMT</w:t>
            </w:r>
          </w:p>
        </w:tc>
        <w:tc>
          <w:p/>
          <w:p>
            <w:pPr>
              <w:spacing w:after="0" w:before="0" w:lineRule="auto" w:line="276"/>
              <w:jc w:val="left"/>
            </w:pPr>
            <w:r>
              <w:rPr>
                <w:rFonts w:ascii="Times New Roman" w:hAnsi="Times New Roman" w:cs="Times New Roman" w:eastAsia="Times New Roman"/>
                <w:b w:val="false"/>
                <w:sz w:val="26"/>
              </w:rPr>
              <w:t>Thông tư số 26/2025/TT-BNNMT</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26/2025/TT-BNNMT</w:t>
            </w:r>
          </w:p>
        </w:tc>
        <w:tc>
          <w:p/>
          <w:p>
            <w:pPr>
              <w:spacing w:after="0" w:before="0" w:lineRule="auto" w:line="276"/>
              <w:jc w:val="left"/>
            </w:pPr>
            <w:r>
              <w:rPr>
                <w:rFonts w:ascii="Times New Roman" w:hAnsi="Times New Roman" w:cs="Times New Roman" w:eastAsia="Times New Roman"/>
                <w:b w:val="false"/>
                <w:sz w:val="26"/>
              </w:rPr>
              <w:t>THÔNG TƯ  QUY ĐỊNH VỀ QUẢN LÝ LÂM SẢN; XỬ LÝ LÂM SẢN, THỦY SẢN LÀ TÀI SẢN ĐƯỢC XÁC LẬP QUYỀN SỞ HỮU TOÀN DÂN</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2026-05-04T09:48:57Z</dcterms:created>
  <dc:creator>Apache POI</dc:creator>
</cp:coreProperties>
</file>