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1.002398.000.00.00.H18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của công ty luật Việt Nam chuyển đổi từ công ty luật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15 ngày, kể từ ngày có văn bản chấp thuận của Bộ Tư pháp, công ty luật Việt Nam chuyển đổi phải làm thủ tục đăng ký việc chuyển đổi tại Sở Tư pháp tỉnh, thành phố trực thuộc Trung ương nơi công ty luật nước ngoài đăng ký hoạt động bằng hình thức nộp hồ sơ đến Trung tâm Phục vụ hành chính công tỉnh Điện Biên hoặc Trung tâm Phục vụ hành chính công cấp xã theo hình thức "phi địa giới", Trung tâm Phục vụ hành chính công chuyển hồ sơ về Sở Tư pháp để giải quyết.
Trong thời hạn 05 ngày làm việc, kể từ ngày nhận đủ hồ sơ hợp lệ, Sở Tư pháp thực hiện cấp Giấy đăng ký hoạt động cho công ty luật Việt Nam chuyển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 hồ sơ </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thực hiện cấp Giấy đăng ký hoạt động cho công ty luật Việt Nam chuyển đổi.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 hồ sơ </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thực hiện cấp Giấy đăng ký hoạt động cho công ty luật Việt Nam chuyển đổi.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50.000 đồng/ hồ sơ </w:t>
              <w:t xml:space="preserve"> (áp dụng mức phí 25.000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hợp lệ, Sở Tư pháp thực hiện cấp Giấy đăng ký hoạt động cho công ty luật Việt Nam chuyển đổi.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chuyển đổi</w:t>
            </w:r>
          </w:p>
        </w:tc>
        <w:tc>
          <w:p/>
          <w:p>
            <w:pPr>
              <w:spacing w:after="0" w:before="0" w:lineRule="auto" w:line="276"/>
              <w:jc w:val="left"/>
            </w:pPr>
            <w:r>
              <w:rPr>
                <w:rFonts w:ascii="Times New Roman" w:hAnsi="Times New Roman" w:cs="Times New Roman" w:eastAsia="Times New Roman"/>
                <w:b w:val="false"/>
                <w:sz w:val="26"/>
              </w:rPr>
              <w:t>TP-LS-32-s.docx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Điều lệ  của công ty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cho Văn phòng luật sư/Công ty TNHH 1 thành viên, Giấy đăng ký hoạt động cho Công ty Luật hợp danh/Công ty TNHH 2 thành viên trở lên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123/2013/NĐ-CP</w:t>
            </w:r>
          </w:p>
        </w:tc>
        <w:tc>
          <w:p/>
          <w:p>
            <w:pPr>
              <w:spacing w:after="0" w:before="0" w:lineRule="auto" w:line="276"/>
              <w:jc w:val="left"/>
            </w:pPr>
            <w:r>
              <w:rPr>
                <w:rFonts w:ascii="Times New Roman" w:hAnsi="Times New Roman" w:cs="Times New Roman" w:eastAsia="Times New Roman"/>
                <w:b w:val="false"/>
                <w:sz w:val="26"/>
              </w:rPr>
              <w:t>Nghị định 123/2013/NĐ-CP</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Tên của công ty luật Việt Nam chuyển đổi phải tuân thủ quy định tại Khoản 5 Điều 34 của Luật Luật sư và không được trùng với tên của công ty luật nước ngoài đã chuyển đổi.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2026-05-22T16:04:59Z</dcterms:created>
  <dc:creator>Apache POI</dc:creator>
</cp:coreProperties>
</file>