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có thể thỏa thuận hợp nhất thành một công ty luật trách nhiệm hữu hạn mới. Hai hoặc nhiều công ty luật hợp danh có thể thỏa thuận hợp nhất thành một công ty luật hợp danh mới. Hồ sơ hợp nhất công ty luật được gửi qua dịch vụ bưu chính hoặc trực tiếp đến Trung tâm Phục vụ hành chính công tỉnh Điện Biên hoặc Trung tâm Phục vụ hành chính công cấp xã nơi công ty luật hợp nhất đăng ký hoạt động hoặc trực tuyến trên Cổng Dịch vụ công quốc gia. Trung tâm Phục vụ hành chính công xem xét hồ sơ, nếu hồ sơ hợp lệ, chuyển Sở Tư pháp giải quyết.
Trong thời hạn 05 ngày làm việc kể từ ngày nhận đủ hồ sơ hợp lệ, Sở Tư pháp cấp Giấy đăng ký hoạt động cho công ty luật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Giấy đăng ký hoạt động cho công ty luật hợp nhất;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Giấy đăng ký hoạt động cho công ty luật hợp nhất;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Giấy đăng ký hoạt động cho công ty luật hợp nhất;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hợp nhất công ty luật Việt Nam theo Thông tư 03/2024/TT-BTP</w:t>
            </w:r>
          </w:p>
        </w:tc>
        <w:tc>
          <w:p/>
          <w:p>
            <w:pPr>
              <w:spacing w:after="0" w:before="0" w:lineRule="auto" w:line="276"/>
              <w:jc w:val="left"/>
            </w:pPr>
            <w:r>
              <w:rPr>
                <w:rFonts w:ascii="Times New Roman" w:hAnsi="Times New Roman" w:cs="Times New Roman" w:eastAsia="Times New Roman"/>
                <w:b w:val="false"/>
                <w:sz w:val="26"/>
              </w:rPr>
              <w:t>Giynghhpnhtcngtylut.docx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Hợp đồng hợp nhất, trong đó phải quy định rõ về thủ tục, thời hạn và điều kiện hợp nhất; phương án sử dụng lao động; việc kế thừa toàn bộ quyền, nghĩa vụ và lợi ích hợp pháp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2026-05-22T15:51:24Z</dcterms:created>
  <dc:creator>Apache POI</dc:creator>
</cp:coreProperties>
</file>