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1.002010.000.00.00.H18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của tổ chức hành nghề luật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hành nghề luật sư đăng ký hoạt động tại Trung tâm Phục vụ hành chính công tỉnh Điện Biên hoặc Trung tâm Phục vụ hành chính công cấp xã theo hình thức "phi địa giới", Trung tâm Phục vụ hành chính công chuyển hồ sơ về Sở Tư pháp nơi có Đoàn Luật sư mà Trưởng văn phòng luật sư hoặc Giám đốc công ty luật là thành viên. 
Công ty luật do luật sư ở các Đoàn Luật sư khác nhau cùng tham gia thành lập thì đăng ký hoạt động tại Trung tâm Phục vụ hành chính công tỉnh Điện Biên hoặc Trung tâm Phục vụ hành chính công cấp xã theo hình thức "phi địa giới", Trung tâm Phục vụ hành chính công chuyển hồ sơ về Sở Tư pháp nơi có trụ sở của công ty. 
Trong thời hạn mười ngày làm việc, kể từ ngày nhận đủ hồ sơ, Sở Tư pháp cấp Giấy đăng ký hoạt động cho tổ chức hành nghề luật sư; trong trường hợp từ chối thì phải thông báo bằng văn bản và nêu rõ lý do, người bị từ chối cấp Giấy đăng ký hoạt động có quyền khiếu nại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đồng/hồ sơ </w:t>
              <w:t xml:space="preserve"> (áp dụng mức phí 25.000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 xml:space="preserve">Lệ phí :  </w:t>
              <w:t xml:space="preserve"> (Tổ chức hành nghề luật sư bổ sung, thay đổi thông tin do thay đổi địa giới hành chính được miễn lệ phí đăng ký hoạt động của tổ chức hành nghề luật sư. Tổ chức hành nghề luật sư thực hiện đăng ký hoạt động qua mạng điện tử được miễn lệ phí đăng ký hoạt động của tổ chức hành nghề luật sư.)</w:t>
            </w:r>
          </w:p>
        </w:tc>
        <w:tc>
          <w:p/>
          <w:p>
            <w:pPr>
              <w:spacing w:after="0" w:before="0" w:lineRule="auto" w:line="276"/>
              <w:jc w:val="left"/>
            </w:pPr>
            <w:r>
              <w:rPr>
                <w:rFonts w:ascii="Times New Roman" w:hAnsi="Times New Roman" w:cs="Times New Roman" w:eastAsia="Times New Roman"/>
                <w:b w:val="false"/>
                <w:sz w:val="26"/>
              </w:rPr>
              <w:t>Trong thời hạn mười ngày làm việc, kể từ ngày nhận đủ hồ sơ, Sở Tư pháp cấp Giấy đăng ký hoạt động cho tổ chức hành nghề luật sư; trong trường hợp từ chối thì phải thông báo bằng văn bản và nêu rõ lý do, người bị từ chối cấp Giấy đăng ký hoạt động có quyền khiếu nại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đồng/hồ sơ </w:t>
              <w:t xml:space="preserve"> (áp dụng mức phí 25.000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 xml:space="preserve">Lệ phí :  </w:t>
              <w:t xml:space="preserve"> (Tổ chức hành nghề luật sư bổ sung, thay đổi thông tin do thay đổi địa giới hành chính được miễn lệ phí đăng ký hoạt động của tổ chức hành nghề luật sư. Tổ chức hành nghề luật sư thực hiện đăng ký hoạt động qua mạng điện tử được miễn lệ phí đăng ký hoạt động của tổ chức hành nghề luật sư.)</w:t>
            </w:r>
          </w:p>
        </w:tc>
        <w:tc>
          <w:p/>
          <w:p>
            <w:pPr>
              <w:spacing w:after="0" w:before="0" w:lineRule="auto" w:line="276"/>
              <w:jc w:val="left"/>
            </w:pPr>
            <w:r>
              <w:rPr>
                <w:rFonts w:ascii="Times New Roman" w:hAnsi="Times New Roman" w:cs="Times New Roman" w:eastAsia="Times New Roman"/>
                <w:b w:val="false"/>
                <w:sz w:val="26"/>
              </w:rPr>
              <w:t>Trong thời hạn mười ngày làm việc, kể từ ngày nhận đủ hồ sơ, Sở Tư pháp cấp Giấy đăng ký hoạt động cho tổ chức hành nghề luật sư; trong trường hợp từ chối thì phải thông báo bằng văn bản và nêu rõ lý do, người bị từ chối cấp Giấy đăng ký hoạt động có quyền khiếu nại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đồng/hồ sơ </w:t>
              <w:t xml:space="preserve"> (áp dụng mức phí 25.000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 xml:space="preserve">Lệ phí :  </w:t>
              <w:t xml:space="preserve"> (Tổ chức hành nghề luật sư bổ sung, thay đổi thông tin do thay đổi địa giới hành chính được miễn lệ phí đăng ký hoạt động của tổ chức hành nghề luật sư. Tổ chức hành nghề luật sư thực hiện đăng ký hoạt động qua mạng điện tử được miễn lệ phí đăng ký hoạt động của tổ chức hành nghề luật sư.)</w:t>
            </w:r>
          </w:p>
        </w:tc>
        <w:tc>
          <w:p/>
          <w:p>
            <w:pPr>
              <w:spacing w:after="0" w:before="0" w:lineRule="auto" w:line="276"/>
              <w:jc w:val="left"/>
            </w:pPr>
            <w:r>
              <w:rPr>
                <w:rFonts w:ascii="Times New Roman" w:hAnsi="Times New Roman" w:cs="Times New Roman" w:eastAsia="Times New Roman"/>
                <w:b w:val="false"/>
                <w:sz w:val="26"/>
              </w:rPr>
              <w:t>Trong thời hạn mười ngày làm việc, kể từ ngày nhận đủ hồ sơ, Sở Tư pháp cấp Giấy đăng ký hoạt động cho tổ chức hành nghề luật sư; trong trường hợp từ chối thì phải thông báo bằng văn bản và nêu rõ lý do, người bị từ chối cấp Giấy đăng ký hoạt động có quyền khiếu nại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Điều lệ của công ty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chỉ hành nghề luật sư của luật sư thành lập văn phòng luật sư, thành lập hoặc tham gia thành lập công ty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về trụ sở của tổ chức hành nghề luật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đăng ký hoạt động theo mẫu thống nhất (Mẫu 02)</w:t>
            </w:r>
          </w:p>
        </w:tc>
        <w:tc>
          <w:p/>
          <w:p>
            <w:pPr>
              <w:spacing w:after="0" w:before="0" w:lineRule="auto" w:line="276"/>
              <w:jc w:val="left"/>
            </w:pPr>
            <w:r>
              <w:rPr>
                <w:rFonts w:ascii="Times New Roman" w:hAnsi="Times New Roman" w:cs="Times New Roman" w:eastAsia="Times New Roman"/>
                <w:b w:val="false"/>
                <w:sz w:val="26"/>
              </w:rPr>
              <w:t>2. TP-LS-02. De nghi dang ky VPLS, CTL 1 thanh vien.doc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đăng ký hoạt động theo mẫu thống nhất (mẫu 03)</w:t>
            </w:r>
          </w:p>
        </w:tc>
        <w:tc>
          <w:p/>
          <w:p>
            <w:pPr>
              <w:spacing w:after="0" w:before="0" w:lineRule="auto" w:line="276"/>
              <w:jc w:val="left"/>
            </w:pPr>
            <w:r>
              <w:rPr>
                <w:rFonts w:ascii="Times New Roman" w:hAnsi="Times New Roman" w:cs="Times New Roman" w:eastAsia="Times New Roman"/>
                <w:b w:val="false"/>
                <w:sz w:val="26"/>
              </w:rPr>
              <w:t>3. TP-LS-03. De nghi dang ky CTL hop danh, 2 thanh vien.doc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Thẻ luật sư của luật sư thành lập văn phòng luật sư, thành lập hoặc tham gia thành lập công ty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luật sư/Công ty TNHH 1 thành viên, Giấy đăng ký hoạt động cho Công ty Luật hợp danh/Công ty TNHH 2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02/2015/TT-BTP</w:t>
            </w:r>
          </w:p>
        </w:tc>
        <w:tc>
          <w:p/>
          <w:p>
            <w:pPr>
              <w:spacing w:after="0" w:before="0" w:lineRule="auto" w:line="276"/>
              <w:jc w:val="left"/>
            </w:pPr>
            <w:r>
              <w:rPr>
                <w:rFonts w:ascii="Times New Roman" w:hAnsi="Times New Roman" w:cs="Times New Roman" w:eastAsia="Times New Roman"/>
                <w:b w:val="false"/>
                <w:sz w:val="26"/>
              </w:rPr>
              <w:t>Thông tư 02/2015/TT-BTP</w:t>
            </w:r>
          </w:p>
        </w:tc>
        <w:tc>
          <w:p/>
          <w:p>
            <w:pPr>
              <w:spacing w:after="0" w:before="0" w:lineRule="auto" w:line="276"/>
              <w:jc w:val="left"/>
            </w:pPr>
            <w:r>
              <w:rPr>
                <w:rFonts w:ascii="Times New Roman" w:hAnsi="Times New Roman" w:cs="Times New Roman" w:eastAsia="Times New Roman"/>
                <w:b w:val="false"/>
                <w:sz w:val="26"/>
              </w:rPr>
              <w:t>16-01-2015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số 05/2021/TT-BTP ngày 24/6/2021 của Bộ Tư pháp hướng dẫn một số điều và biện pháp thi hành Luật Luật sư, Nghị định quy định quy chi tiết một số điều và biện pháp thi hành Luật Luật sư</w:t>
            </w:r>
          </w:p>
        </w:tc>
        <w:tc>
          <w:p/>
          <w:p>
            <w:pPr>
              <w:spacing w:after="0" w:before="0" w:lineRule="auto" w:line="276"/>
              <w:jc w:val="left"/>
            </w:pPr>
            <w:r>
              <w:rPr>
                <w:rFonts w:ascii="Times New Roman" w:hAnsi="Times New Roman" w:cs="Times New Roman" w:eastAsia="Times New Roman"/>
                <w:b w:val="false"/>
                <w:sz w:val="26"/>
              </w:rPr>
              <w:t>24-06-2021</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thành lập tổ chức hành nghề luật sư:
- Luật sư thành lập hoặc tham gia thành lập tổ chức hành nghề luật sư phải có ít nhất hai năm hành nghề liên tục làm việc theo hợp đồng lao động cho tổ chức hành nghề luật sư hoặc hành nghề với tư cách cá nhân theo hợp đồng lao động cho cơ quan, tổ chức theo quy định của Luật này;
- Tổ chức hành nghề luật sư phải có trụ sở làm việc.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2026-05-22T16:44:56Z</dcterms:created>
  <dc:creator>Apache POI</dc:creator>
</cp:coreProperties>
</file>