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1.004002.000.00.00.H18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quyền sở hữu phương tiện nhưng không thay đổi cơ quan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 Trung tâm Phục vụ hành chính công cấp tỉnh hoặc Trung tâm Phục vụ hành chính công cấp xã tỉnh Điện Biên</w:t>
      </w:r>
    </w:p>
    <w:p>
      <w:pPr>
        <w:spacing w:after="0" w:before="0" w:lineRule="auto" w:line="276"/>
        <w:jc w:val="both"/>
      </w:pPr>
      <w:r>
        <w:rPr>
          <w:rFonts w:ascii="Times New Roman" w:hAnsi="Times New Roman" w:cs="Times New Roman" w:eastAsia="Times New Roman"/>
          <w:b w:val="false"/>
          <w:sz w:val="26"/>
        </w:rPr>
        <w:t>+ Sở Xây dựng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xml:space="preserve"> 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 xml:space="preserve">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xml:space="preserve"> 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quyết định điều chuyển phương tiện của cơ quan có thẩm quyền hoặc giấy tờ khác chứng minh phương tiện được cho, tặng, thừa kế theo quy định của pháp luật. Trường hợp chủ phương tiện là tổ chức, cá nhân nước ngoài đứng tên đăng ký lại phương tiện thì phải xuất trình giấy tờ chứng minh được phép hoạt động và có trụ sở tại Việt Nam hoặc giấy tờ chứng minh được phép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đường thủy nội địa,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Trung tâm Phục vụ hành chính công cấp xã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2026-05-11T11:25:48Z</dcterms:created>
  <dc:creator>Apache POI</dc:creator>
</cp:coreProperties>
</file>