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chưa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có nhu cầu nộp hồ sơ đến cơ quan đăng ký phương tiện theo quy định.</w:t>
      </w:r>
    </w:p>
    <w:p>
      <w:pPr>
        <w:spacing w:after="0" w:before="0" w:lineRule="auto" w:line="276"/>
        <w:jc w:val="both"/>
      </w:pPr>
      <w:r>
        <w:rPr>
          <w:rFonts w:ascii="Times New Roman" w:hAnsi="Times New Roman" w:cs="Times New Roman" w:eastAsia="Times New Roman"/>
          <w:b w:val="false"/>
          <w:sz w:val="26"/>
        </w:rPr>
        <w:t>Cơ quan đăng ký phương tiện bao gồm: Sở Xây dựng; UBND cấp xã</w:t>
      </w:r>
    </w:p>
    <w:p>
      <w:pPr>
        <w:spacing w:after="0" w:before="0" w:lineRule="auto" w:line="276"/>
        <w:jc w:val="both"/>
      </w:pPr>
      <w:r>
        <w:rPr>
          <w:rFonts w:ascii="Times New Roman" w:hAnsi="Times New Roman" w:cs="Times New Roman" w:eastAsia="Times New Roman"/>
          <w:b w:val="false"/>
          <w:sz w:val="26"/>
        </w:rPr>
        <w:t>+ Sở Xây dựng vận tải tỉnh Điện Biên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(Trường hợp chủ phương tiện là cơ sở đóng mới, hoán cải, sửa chữa và phục hồi phương tiện được phép hoạt động theo quy định của pháp luật khi thực hiện đăng ký không phải xuất trình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phương tiện là cơ sở đóng mới, hoán cải, sửa chữa và phục hồi phương tiện được phép hoạt động theo quy định của pháp luật khi thực hiện đăng ký không phải xuất trình hoặc gửi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Chi cục đường thủy nội địa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2026-05-11T11:27:07Z</dcterms:created>
  <dc:creator>Apache POI</dc:creator>
</cp:coreProperties>
</file>