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1.003179.000.00.00.H18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việc nuôi con nuôi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ký lại việc nuôi con nuôi nộp Tờ khai đăng ký lại việc nuôi con nuôi cho Bộ phận Tiếp nhận và Trả kết quả của Sở Tư pháp tỉnh Điện Biên  nơi cha mẹ nuôi và con nuôi thường trú hoặc nơi đã đăng ký việc nuôi con nuôi trước đây. Tờ khai phải có cam đoan của người yêu cầu đăng ký lại về tính trung thực của việc đăng ký nuôi con nuôi trước đó và có chữ ký của ít nhất hai người làm chứng.	
Lưu ý: Sở Tư pháp giải thích rõ cho người có yêu cầu đăng ký lại việc nuôi con nuôi về trách nhiệm, hệ quả pháp lý của việc cam đoan không đúng sự thật. Trường hợp có cơ sở xác định nội dung cam đoan không đúng sự thật, Sở Tư pháp từ chối đăng ký lại việc nuôi con nuôi hoặc đề nghị cơ quan có thẩm quyền hủy bỏ kết quả đăng ký lại việc nuôi con nuôi.
- Sở Tư pháp trình Ủy ban nhân dân cấp tỉnh quyết định để Sở Tư pháp tiến hành các bước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ngày làm việc,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lại việc nuôi con nuôi. Tờ khai phải có cam đoan của người yêu cầu đăng ký lại về tính trung thực của việc đăng ký nuôi con nuôi trước đó và có chữ ký của ít nhất hai người làm chứng.</w:t>
            </w:r>
          </w:p>
        </w:tc>
        <w:tc>
          <w:p/>
          <w:p>
            <w:pPr>
              <w:spacing w:after="0" w:before="0" w:lineRule="auto" w:line="276"/>
              <w:jc w:val="left"/>
            </w:pPr>
            <w:r>
              <w:rPr>
                <w:rFonts w:ascii="Times New Roman" w:hAnsi="Times New Roman" w:cs="Times New Roman" w:eastAsia="Times New Roman"/>
                <w:b w:val="false"/>
                <w:sz w:val="26"/>
              </w:rPr>
              <w:t>7.Tkhaingklivicnuiconnui.doc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nuôi con nuôi có yếu tố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nuôi con nuôi đã được đăng ký tại cơ quan nhà nước có thẩm quyền của Việt Nam nhưng sổ hộ tịch và bản chính giấy tờ đăng ký nuôi con nuôi bị mất hoặc hư hỏng không sử dụng được; 
-	Cha, mẹ nuôi và con nuôi đều còn sống vào thời điểm yêu cầu đăng ký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2026-05-22T15:48:59Z</dcterms:created>
  <dc:creator>Apache POI</dc:creator>
</cp:coreProperties>
</file>