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2.000477.H50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993/QĐ-UBND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Dừng trợ giúp xã hội tại cơ sở trợ giúp xã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Đối tượng sử dụng dịch vụ hoặc người giám hộ, thân nhân hoặc gia đình, cá nhân nhận chăm sóc, nuôi dưỡng hoặc cha mẹ nuôi (quy định tại các điểm b, c, d và g khoản 2 Điều 30 Nghị định số 20/2021/NĐ-CP) có đơn đề nghị gửi người đứng đầu cơ sở dừng trợ giúp xã hội.
- Bước 2: Trong thời hạn 07 ngày làm việc, kể từ khi nhận được đơn, người đứng đầu cơ sở cấp tỉnh quyết định dừng trợ giúp xã hội.
- Bước 3: Cơ sở trợ giúp xã hội lập biên bản bàn giao đối tượng về gia đình, cộng đồng có xác nhận của Ủy ban nhân dân cấp xã hoặc thanh lý hợp đồng dịch vụ trợ giúp xã hội.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dừng trợ giúp xã hội (theo Mẫu số 09 ban hành  kèm  theo Nghị định số 20/2021/NĐ-CP).</w:t>
            </w:r>
          </w:p>
        </w:tc>
        <w:tc>
          <w:p/>
          <w:p>
            <w:pPr>
              <w:spacing w:after="0" w:before="0" w:lineRule="auto" w:line="276"/>
              <w:jc w:val="left"/>
            </w:pPr>
            <w:r>
              <w:rPr>
                <w:rFonts w:ascii="Times New Roman" w:hAnsi="Times New Roman" w:cs="Times New Roman" w:eastAsia="Times New Roman"/>
                <w:b w:val="false"/>
                <w:sz w:val="26"/>
              </w:rPr>
              <w:t>Mus09.docx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 tỉnh Quảng Trị, Cơ sở trợ giúp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sở trợ giúp xã hội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Dừng trợ giúp xã hội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103/2017/NĐ-CP</w:t>
            </w:r>
          </w:p>
        </w:tc>
        <w:tc>
          <w:p/>
          <w:p>
            <w:pPr>
              <w:spacing w:after="0" w:before="0" w:lineRule="auto" w:line="276"/>
              <w:jc w:val="left"/>
            </w:pPr>
            <w:r>
              <w:rPr>
                <w:rFonts w:ascii="Times New Roman" w:hAnsi="Times New Roman" w:cs="Times New Roman" w:eastAsia="Times New Roman"/>
                <w:b w:val="false"/>
                <w:sz w:val="26"/>
              </w:rPr>
              <w:t>NGHỊ ĐỊNH  QUY ĐỊNH VỀ THÀNH LẬP, TỔ CHỨC, HOẠT ĐỘNG, GIẢI THỂ VÀ QUẢN LÝ CÁC CƠ SỞ TRỢ GIÚP XÃ HỘI</w:t>
            </w:r>
          </w:p>
        </w:tc>
        <w:tc>
          <w:p/>
          <w:p>
            <w:pPr>
              <w:spacing w:after="0" w:before="0" w:lineRule="auto" w:line="276"/>
              <w:jc w:val="left"/>
            </w:pPr>
            <w:r>
              <w:rPr>
                <w:rFonts w:ascii="Times New Roman" w:hAnsi="Times New Roman" w:cs="Times New Roman" w:eastAsia="Times New Roman"/>
                <w:b w:val="false"/>
                <w:sz w:val="26"/>
              </w:rPr>
              <w:t>12-09-2017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20/2021/NĐ-CP</w:t>
            </w:r>
          </w:p>
        </w:tc>
        <w:tc>
          <w:p/>
          <w:p>
            <w:pPr>
              <w:spacing w:after="0" w:before="0" w:lineRule="auto" w:line="276"/>
              <w:jc w:val="left"/>
            </w:pPr>
            <w:r>
              <w:rPr>
                <w:rFonts w:ascii="Times New Roman" w:hAnsi="Times New Roman" w:cs="Times New Roman" w:eastAsia="Times New Roman"/>
                <w:b w:val="false"/>
                <w:sz w:val="26"/>
              </w:rPr>
              <w:t>QUY ĐỊNH CHÍNH SÁCH TRỢ GIÚP XÃ HỘI ĐỐI VỚI ĐỐI TƯỢNG BẢO TRỢ XÃ HỘI</w:t>
            </w:r>
          </w:p>
        </w:tc>
        <w:tc>
          <w:p/>
          <w:p>
            <w:pPr>
              <w:spacing w:after="0" w:before="0" w:lineRule="auto" w:line="276"/>
              <w:jc w:val="left"/>
            </w:pPr>
            <w:r>
              <w:rPr>
                <w:rFonts w:ascii="Times New Roman" w:hAnsi="Times New Roman" w:cs="Times New Roman" w:eastAsia="Times New Roman"/>
                <w:b w:val="false"/>
                <w:sz w:val="26"/>
              </w:rPr>
              <w:t>15-03-2021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147/2025/NĐ-CP</w:t>
            </w:r>
          </w:p>
        </w:tc>
        <w:tc>
          <w:p/>
          <w:p>
            <w:pPr>
              <w:spacing w:after="0" w:before="0" w:lineRule="auto" w:line="276"/>
              <w:jc w:val="left"/>
            </w:pPr>
            <w:r>
              <w:rPr>
                <w:rFonts w:ascii="Times New Roman" w:hAnsi="Times New Roman" w:cs="Times New Roman" w:eastAsia="Times New Roman"/>
                <w:b w:val="false"/>
                <w:sz w:val="26"/>
              </w:rPr>
              <w:t>Nghị định số 147/2025/NĐ-CP của Chính phủ: Quy định về phân định thẩm quyền của chính quyền địa phương 02 cấp trong lĩnh vực quản lý nhà nước của Bộ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993/QĐ-UBND</w:t>
            </w:r>
          </w:p>
        </w:tc>
        <w:tc>
          <w:p/>
          <w:p>
            <w:pPr>
              <w:spacing w:after="0" w:before="0" w:lineRule="auto" w:line="276"/>
              <w:jc w:val="left"/>
            </w:pPr>
            <w:r>
              <w:rPr>
                <w:rFonts w:ascii="Times New Roman" w:hAnsi="Times New Roman" w:cs="Times New Roman" w:eastAsia="Times New Roman"/>
                <w:b w:val="false"/>
                <w:sz w:val="26"/>
              </w:rPr>
              <w:t>Quyết định Công bố Danh mục thủ tục hành chính mới ban hành, được sửa đổi, bổ sung hoặc bị bãi bỏ trong lĩnh vực Bảo trợ xã hội, Trẻ em, Dân số, Bà mẹ - Trẻ em thuộc thẩm quyền giải quyết của UBND tỉnh, Sở Y tế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25-09-2025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2026-05-02T09:45:31Z</dcterms:created>
  <dc:creator>Apache POI</dc:creator>
</cp:coreProperties>
</file>