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1.002758.000.00.00.H18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đề nghị cấp Giấy chứng nhận đủ điều kiện kinh doanh hóa chất lập 01 bộ hồ sơ gửi qua đường bưu điện hoặc gửi trực tiếp hoặc qua hệ thống dịch vụ công trực tuyến đếnBộ phận tiếp nhận và trả kết quả thuộc Văn phòng Sở Công Thương tỉnh Điện Biên (Số 821, Tổ dân phố 7, phường Tân Thanh, thành phố Điện Biên Phủ, tỉnh Điện Biên) nơi tổ chức, cá nhân đặt cơ sở kinh doanh;</w:t>
      </w:r>
    </w:p>
    <w:p>
      <w:pPr>
        <w:spacing w:after="0" w:before="0" w:lineRule="auto" w:line="276"/>
        <w:jc w:val="both"/>
      </w:pPr>
      <w:r>
        <w:rPr>
          <w:rFonts w:ascii="Times New Roman" w:hAnsi="Times New Roman" w:cs="Times New Roman" w:eastAsia="Times New Roman"/>
          <w:b w:val="false"/>
          <w:sz w:val="26"/>
        </w:rPr>
        <w:t>- Trường hợp hồ sơ chưa đầy đủ và hợp lệ, trong vòng 03 ngày làm việc kể từ ngày tiếp nhận hồ sơ, cơ quan cấp Giấy chứng nhận thông báo để tổ chức, cá nhân bổ sung, hoàn chỉnh hồ sơ. Thời gian hoàn chỉnh hồ sơ không được tính vào thời gian cấp Giấy chứng nhận;</w:t>
      </w:r>
    </w:p>
    <w:p>
      <w:pPr>
        <w:spacing w:after="0" w:before="0" w:lineRule="auto" w:line="276"/>
        <w:jc w:val="both"/>
      </w:pPr>
      <w:r>
        <w:rPr>
          <w:rFonts w:ascii="Times New Roman" w:hAnsi="Times New Roman" w:cs="Times New Roman" w:eastAsia="Times New Roman"/>
          <w:b w:val="false"/>
          <w:sz w:val="26"/>
        </w:rPr>
        <w:t>- Trong thời hạn 12 ngày làm việc, kể từ ngày nhận đủ hồ sơ hợp lệ quy định Sở Công Thương nơi tổ chức, cá nhân đặt cơ sở kinh doanh có trách nhiệm xem xét, thẩm định và cấp Giấy chứng nhận đủ điều kiện cho tổ chức, cá nhân đồng thời gửi 01 bản cho Sở Công Thương nơi tổ chức, cá nhân đăng ký trụ sở chính. Trường hợp không cấp Giấy chứng nhận, Sở Công Thương nơi tổ chức, cá nhân đặt cơ sở kinh doanh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 xml:space="preserve">Phí : 1.200.000 đồng/lần thẩm định/giấy chứng nhận </w:t>
              <w:t xml:space="preserve"> (Quy định tại Thông tư số 08/2018/TT-BTC của Bộ Tài chính Quy định mức thu, chế độ thu, nộp, quản lý và sử dụng phí trong hoạt động hóa chất. )</w:t>
              <w:br/>
              <w:t>File đính kèm: TT08_2018_PhiHoachat.pdf</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(1.200.000 đồng/lần thẩm định/giấy chứng nhận)</w:t>
            </w:r>
          </w:p>
        </w:tc>
        <w:tc>
          <w:p/>
          <w:p>
            <w:pPr>
              <w:spacing w:after="0" w:before="0" w:lineRule="auto" w:line="276"/>
              <w:jc w:val="left"/>
            </w:pPr>
            <w:r>
              <w:rPr>
                <w:rFonts w:ascii="Times New Roman" w:hAnsi="Times New Roman" w:cs="Times New Roman" w:eastAsia="Times New Roman"/>
                <w:b w:val="false"/>
                <w:sz w:val="26"/>
              </w:rPr>
              <w:t>12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(1.200.000 đồng/lần thẩm định/giấy chứng nhận)</w:t>
            </w:r>
          </w:p>
        </w:tc>
        <w:tc>
          <w:p/>
          <w:p>
            <w:pPr>
              <w:spacing w:after="0" w:before="0" w:lineRule="auto" w:line="276"/>
              <w:jc w:val="left"/>
            </w:pPr>
            <w:r>
              <w:rPr>
                <w:rFonts w:ascii="Times New Roman" w:hAnsi="Times New Roman" w:cs="Times New Roman" w:eastAsia="Times New Roman"/>
                <w:b w:val="false"/>
                <w:sz w:val="26"/>
              </w:rPr>
              <w:t>12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 Bản sao văn bản chấp thuận kết quả nghiệm thu về phòng cháy và chữa cháy của cơ quan Cảnh sát phòng cháy và chữa cháy đối với từng kho chứa hóa chất thuộc đối tượng phải thẩm duyệt thiết kế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kiểm tra an toàn về phòng cháy và chữa cháy hoặc văn bản của cơ quan có thẩm quyền chứng minh đảm bảo các điều kiện an toàn về phòng cháy và chữa cháy đối với từng kho chứa hóa chất không thuộc đối tượng bắt buộc phải thẩm duyệt thiết kế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Bản vẽ tổng thể hệ thống mặt bằng của từng địa điểm kinh doanh, nội dung bản vẽ phải đảm bảo các thông tin về vị trí kho chứa, khu vực chứa hóa chất, diện tích và đường vào khu vực kho hóa chất; Bản sao giấy tờ chứng minh quyền sử dụng đối với thửa đất xây dựng kho chứa hoặc Hợp đồng thuê kho đối với trường hợp thuê kho lưu trữ hoặc Hợp đồng hay thỏa thuận mua bán hóa chất trong trường hợp sử dụng kho của tổ chức, cá nhân mua hoặc bán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kê khai thiết bị kỹ thuật, trang bị phòng hộ lao động và an toàn của từng địa điểm kinh doanh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bằng trung cấp trở lên về chuyên ngành hóa chất của người phụ trách về an toàn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Bản sao quyết định công nhận kết quả kiểm tra huấn luyện an toàn hóa chất của tổ chức, cá nhân theo quy định tại điểm đ khoản 4 Điều 34 của Nghị định 113/2017/NĐ-CP;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 Phiếu an toàn hóa chất của các hóa chất nguy hiểm trong cơ sở kinh doanh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Văn bản đề nghị cấp Giấy chứng nhận đủ điều kiện kinh doanh hóa chất sản xuất, kinh doanh có điều kiện trong lĩnh vực công nghiệp;</w:t>
            </w:r>
          </w:p>
        </w:tc>
        <w:tc>
          <w:p/>
          <w:p>
            <w:pPr>
              <w:spacing w:after="0" w:before="0" w:lineRule="auto" w:line="276"/>
              <w:jc w:val="left"/>
            </w:pPr>
            <w:r>
              <w:rPr>
                <w:rFonts w:ascii="Times New Roman" w:hAnsi="Times New Roman" w:cs="Times New Roman" w:eastAsia="Times New Roman"/>
                <w:b w:val="false"/>
                <w:sz w:val="26"/>
              </w:rPr>
              <w:t>Mẫu 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Giấy chứng nhận đăng ký doanh nghiệp hoặc Giấy chứng nhận đăng ký hợp tác xã hoặc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kê khai về từng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Quyết định phê duyệt hoặc văn bản xác nhận các tài liệu liên quan đến bảo vệ môi trường theo quy định của pháp luật được cơ quan quản lý nhà nước có thẩm quyền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Điều chỉnh giấy chứng nhận đủ điều kiện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06/2007/QH12</w:t>
            </w:r>
          </w:p>
        </w:tc>
        <w:tc>
          <w:p/>
          <w:p>
            <w:pPr>
              <w:spacing w:after="0" w:before="0" w:lineRule="auto" w:line="276"/>
              <w:jc w:val="left"/>
            </w:pPr>
            <w:r>
              <w:rPr>
                <w:rFonts w:ascii="Times New Roman" w:hAnsi="Times New Roman" w:cs="Times New Roman" w:eastAsia="Times New Roman"/>
                <w:b w:val="false"/>
                <w:sz w:val="26"/>
              </w:rPr>
              <w:t>Luật 06/2007/QH12 - Hóa chất</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113/2017/NĐ-CP</w:t>
            </w:r>
          </w:p>
        </w:tc>
        <w:tc>
          <w:p/>
          <w:p>
            <w:pPr>
              <w:spacing w:after="0" w:before="0" w:lineRule="auto" w:line="276"/>
              <w:jc w:val="left"/>
            </w:pPr>
            <w:r>
              <w:rPr>
                <w:rFonts w:ascii="Times New Roman" w:hAnsi="Times New Roman" w:cs="Times New Roman" w:eastAsia="Times New Roman"/>
                <w:b w:val="false"/>
                <w:sz w:val="26"/>
              </w:rPr>
              <w:t>Nghị định 113/2017/NĐ-CP</w:t>
            </w:r>
          </w:p>
        </w:tc>
        <w:tc>
          <w:p/>
          <w:p>
            <w:pPr>
              <w:spacing w:after="0" w:before="0" w:lineRule="auto" w:line="276"/>
              <w:jc w:val="left"/>
            </w:pPr>
            <w:r>
              <w:rPr>
                <w:rFonts w:ascii="Times New Roman" w:hAnsi="Times New Roman" w:cs="Times New Roman" w:eastAsia="Times New Roman"/>
                <w:b w:val="false"/>
                <w:sz w:val="26"/>
              </w:rPr>
              <w:t>09-10-2017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32/2017/TT-BCT</w:t>
            </w:r>
          </w:p>
        </w:tc>
        <w:tc>
          <w:p/>
          <w:p>
            <w:pPr>
              <w:spacing w:after="0" w:before="0" w:lineRule="auto" w:line="276"/>
              <w:jc w:val="left"/>
            </w:pPr>
            <w:r>
              <w:rPr>
                <w:rFonts w:ascii="Times New Roman" w:hAnsi="Times New Roman" w:cs="Times New Roman" w:eastAsia="Times New Roman"/>
                <w:b w:val="false"/>
                <w:sz w:val="26"/>
              </w:rPr>
              <w:t>Thông tư 32/2017/TT-BCT</w:t>
            </w:r>
          </w:p>
        </w:tc>
        <w:tc>
          <w:p/>
          <w:p>
            <w:pPr>
              <w:spacing w:after="0" w:before="0" w:lineRule="auto" w:line="276"/>
              <w:jc w:val="left"/>
            </w:pPr>
            <w:r>
              <w:rPr>
                <w:rFonts w:ascii="Times New Roman" w:hAnsi="Times New Roman" w:cs="Times New Roman" w:eastAsia="Times New Roman"/>
                <w:b w:val="false"/>
                <w:sz w:val="26"/>
              </w:rPr>
              <w:t>28-12-2017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08/2018/TT-BTC</w:t>
            </w:r>
          </w:p>
        </w:tc>
        <w:tc>
          <w:p/>
          <w:p>
            <w:pPr>
              <w:spacing w:after="0" w:before="0" w:lineRule="auto" w:line="276"/>
              <w:jc w:val="left"/>
            </w:pPr>
            <w:r>
              <w:rPr>
                <w:rFonts w:ascii="Times New Roman" w:hAnsi="Times New Roman" w:cs="Times New Roman" w:eastAsia="Times New Roman"/>
                <w:b w:val="false"/>
                <w:sz w:val="26"/>
              </w:rPr>
              <w:t>Thông tư 08/2018/TT-BTC</w:t>
            </w:r>
          </w:p>
        </w:tc>
        <w:tc>
          <w:p/>
          <w:p>
            <w:pPr>
              <w:spacing w:after="0" w:before="0" w:lineRule="auto" w:line="276"/>
              <w:jc w:val="left"/>
            </w:pPr>
            <w:r>
              <w:rPr>
                <w:rFonts w:ascii="Times New Roman" w:hAnsi="Times New Roman" w:cs="Times New Roman" w:eastAsia="Times New Roman"/>
                <w:b w:val="false"/>
                <w:sz w:val="26"/>
              </w:rPr>
              <w:t>25-01-2018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kinh doanh:
- Là tổ chức, cá nhân được thành lập theo quy định của pháp luật;
- Cơ sở vật chất – kỹ thuật phải đáp ứng yêu cầu trong kinh doanh theo quy định tại Điều 12 của Luật hóa chất; Điều 4; khoản 2 Điều 5; khoản 1, khoản 2 Điều 6 của Nghị định 113/2017/NĐ-CP;
- Có cửa hàng hoặc địa điểm kinh doanh, nơi bày bán phải đảm bảo các yêu cầu về an toàn hóa chất, an toàn phòng, chống cháy nổ theo quy định của pháp luật; 
- Có kho chứa hoặc có hợp đồng thuê kho chứa hóa chất hoặc sử dụng kho của tổ chức, cá nhân mua hoặc bán hóa chất đáp ứng được các điều kiện về bảo quản an toàn hóa chất, an toàn phòng, chống cháy nổ;
- Người phụ trách về an toàn hóa chất của cơ sở kinh doanh hóa chất phải có trình độ trung cấp trở lên về chuyên ngành hóa chất.
- Các đối tượng quy định tại Điều 32 của Nghị định 113/2017/NĐ-CP phải được huấn luyện an toàn hóa chất.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2026-05-15T11:14:19Z</dcterms:created>
  <dc:creator>Apache POI</dc:creator>
</cp:coreProperties>
</file>