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kinh doanh cho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10 ngày làm việc, kể từ ngày nhận đủ hồ sơ hợp lệ quy định Sở Công Thương nơi tổ chức kinh tế có vốn đầu tư nước ngoài đặt trụ sở chính có trách nhiệm xem xét việc đáp ứng điều kiện. </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Trường hợp đáp ứng điều kiện, Sở Công Thương gửi hồ sơ kèm văn bản lấy ý kiến Bộ Công Thương.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 </w:t>
      </w:r>
    </w:p>
    <w:p>
      <w:pPr>
        <w:spacing w:after="0" w:before="0" w:lineRule="auto" w:line="276"/>
        <w:jc w:val="both"/>
      </w:pPr>
      <w:r>
        <w:rPr>
          <w:rFonts w:ascii="Times New Roman" w:hAnsi="Times New Roman" w:cs="Times New Roman" w:eastAsia="Times New Roman"/>
          <w:b w:val="false"/>
          <w:sz w:val="26"/>
        </w:rPr>
        <w:t xml:space="preserve">- Tổ chức kinh tế có vốn đầu tư nước ngoài đề nghị cấp Giấy phép kinh doanh lập 02 bộ hồ sơ gửi trực tiếp hoặc qua đường bưu chính hoặc hệ thống dịch vụ công trực tuyến đến Sở Công Thương nơi tổ chức kinh tế đặt trụ sở chính.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kinh doanh (Mẫu số 02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02MĐ-Đơn điều chỉnh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điểm a khoản 1 Điều 11 trừ trường hợp chuyển địa điểm trụ sở chính: Bản sao Giấy chứng nhận đăng ký doanh nghiệp ghi nhận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các điểm b, c, d và đ khoản 1 Điều 11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ghi các nội dung quy định tại khoản 2 Điều 12 của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Đáp ứng các điều kiện quy định tại Điều 9 Nghị định 09/2018/NĐ-CP ngày 15/01/2018 tương ứng với các nội dung đề nghị điều chỉnh.
- Điều kiện riêng:
Khi có một trong những sự thay đổi về giấy phép kinh doanh như sau:
- Tên, mã số doanh nghiệp, địa chỉ trụ sở chính và người đại diện theo pháp luật;
- Chủ sở hữu, thành viên góp vốn, cổ đông sáng lập;
- Hàng hóa phân phối;
- Các hoạt động liên quan trực tiếp đến mua bán hàng hóa;
- Các nội dung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2026-05-15T11:56:31Z</dcterms:created>
  <dc:creator>Apache POI</dc:creator>
</cp:coreProperties>
</file>