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2.000334.000.00.00.H18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2485/QĐ-UBND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Điều chỉnh tăng diện tích cơ sở bán lẻ thứ nhất trong trung tâm thương mại; tăng diện dích cơ sở bán lẻ ngoài cơ sở bán lẻ thứ nhất được lập trong trung tâm thương mại và không thuộc loại hình cửa hàng tiện lợi, siêu thị mini, đến mức dưới 500m2</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Thương mại quốc tế</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xml:space="preserve">a) Hồ sơ 01 bộ gửi trực tiếp hoặc qua đường bưu chính hoặc qua mạng điện tử (nếu đủ điều kiện áp dụng) đến Bộ phận tiếp nhận và trả kết quả thuộc Văn phòng Sở Công Thương tỉnh Điện Biên </w:t>
      </w:r>
    </w:p>
    <w:p>
      <w:pPr>
        <w:spacing w:after="0" w:before="0" w:lineRule="auto" w:line="276"/>
        <w:jc w:val="both"/>
      </w:pPr>
      <w:r>
        <w:rPr>
          <w:rFonts w:ascii="Times New Roman" w:hAnsi="Times New Roman" w:cs="Times New Roman" w:eastAsia="Times New Roman"/>
          <w:b w:val="false"/>
          <w:sz w:val="26"/>
        </w:rPr>
        <w:t xml:space="preserve">b) Trong thời hạn 03 ngày làm việc kể từ ngày nhận được hồ sơ, Sở Công Thương kiểm tra và yêu cầu sửa đổi, bổ sung nếu hồ sơ chưa đủ và hợp lệ; </w:t>
      </w:r>
    </w:p>
    <w:p>
      <w:pPr>
        <w:spacing w:after="0" w:before="0" w:lineRule="auto" w:line="276"/>
        <w:jc w:val="both"/>
      </w:pPr>
      <w:r>
        <w:rPr>
          <w:rFonts w:ascii="Times New Roman" w:hAnsi="Times New Roman" w:cs="Times New Roman" w:eastAsia="Times New Roman"/>
          <w:b w:val="false"/>
          <w:sz w:val="26"/>
        </w:rPr>
        <w:t xml:space="preserve">c) Trong thời hạn 05 ngày làm việc kể từ ngày nhận được hồ sơ đủ và hợp lệ, Sở Công Thương điều chỉnh Giấy phép lập cơ sở bán lẻ, trường hợp từ chối phải có văn bản trả lời và nêu rõ lý do. </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05 ngày làm việc kể từ ngày nhận được hồ sơ đầy đủ,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05 ngày làm việc kể từ ngày nhận được hồ sơ đầy đủ,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05 ngày làm việc kể từ ngày nhận được hồ sơ đầy đủ,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a) Đơn đề nghị điều chỉnh Giấy phép lập cơ sở bán lẻ (Mẫu số 05 Phụ lục ban hành kèm theo Nghị định).</w:t>
            </w:r>
          </w:p>
        </w:tc>
        <w:tc>
          <w:p/>
          <w:p>
            <w:pPr>
              <w:spacing w:after="0" w:before="0" w:lineRule="auto" w:line="276"/>
              <w:jc w:val="left"/>
            </w:pPr>
            <w:r>
              <w:rPr>
                <w:rFonts w:ascii="Times New Roman" w:hAnsi="Times New Roman" w:cs="Times New Roman" w:eastAsia="Times New Roman"/>
                <w:b w:val="false"/>
                <w:sz w:val="26"/>
              </w:rPr>
              <w:t>05MĐ-Đơn điều chỉnh GPBL.doc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 Bản giải trình có nội dung: - Địa điểm lập cơ sở bán lẻ: địa chỉ cơ sở bán lẻ; mô tả khu vực chung, có liên quan và khu vực sử dụng để lập cơ sở bán lẻ; kèm theo tài liệu về địa điểm lập cơ sở bán lẻ;		- Báo cáo tình hình hoạt động kinh doanh của cơ sở bán lẻ trong năm gần nhất.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 Tài liệu của cơ quan thuế chứng minh không còn nợ thuế quá hạn.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Công Thương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tỉnh Điện Biên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LẬP CƠ SỞ BÁN LẺ</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36/2005/QH11</w:t>
            </w:r>
          </w:p>
        </w:tc>
        <w:tc>
          <w:p/>
          <w:p>
            <w:pPr>
              <w:spacing w:after="0" w:before="0" w:lineRule="auto" w:line="276"/>
              <w:jc w:val="left"/>
            </w:pPr>
            <w:r>
              <w:rPr>
                <w:rFonts w:ascii="Times New Roman" w:hAnsi="Times New Roman" w:cs="Times New Roman" w:eastAsia="Times New Roman"/>
                <w:b w:val="false"/>
                <w:sz w:val="26"/>
              </w:rPr>
              <w:t>Luật 36/2005/QH11</w:t>
            </w:r>
          </w:p>
        </w:tc>
        <w:tc>
          <w:p/>
          <w:p>
            <w:pPr>
              <w:spacing w:after="0" w:before="0" w:lineRule="auto" w:line="276"/>
              <w:jc w:val="left"/>
            </w:pPr>
            <w:r>
              <w:rPr>
                <w:rFonts w:ascii="Times New Roman" w:hAnsi="Times New Roman" w:cs="Times New Roman" w:eastAsia="Times New Roman"/>
                <w:b w:val="false"/>
                <w:sz w:val="26"/>
              </w:rPr>
              <w:t>14-06-2005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05/2017/QH14</w:t>
            </w:r>
          </w:p>
        </w:tc>
        <w:tc>
          <w:p/>
          <w:p>
            <w:pPr>
              <w:spacing w:after="0" w:before="0" w:lineRule="auto" w:line="276"/>
              <w:jc w:val="left"/>
            </w:pPr>
            <w:r>
              <w:rPr>
                <w:rFonts w:ascii="Times New Roman" w:hAnsi="Times New Roman" w:cs="Times New Roman" w:eastAsia="Times New Roman"/>
                <w:b w:val="false"/>
                <w:sz w:val="26"/>
              </w:rPr>
              <w:t>Luật quản lý ngoại thương</w:t>
            </w:r>
          </w:p>
        </w:tc>
        <w:tc>
          <w:p/>
          <w:p>
            <w:pPr>
              <w:spacing w:after="0" w:before="0" w:lineRule="auto" w:line="276"/>
              <w:jc w:val="left"/>
            </w:pPr>
            <w:r>
              <w:rPr>
                <w:rFonts w:ascii="Times New Roman" w:hAnsi="Times New Roman" w:cs="Times New Roman" w:eastAsia="Times New Roman"/>
                <w:b w:val="false"/>
                <w:sz w:val="26"/>
              </w:rPr>
              <w:t>12-06-2017</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67/2014/QH13</w:t>
            </w:r>
          </w:p>
        </w:tc>
        <w:tc>
          <w:p/>
          <w:p>
            <w:pPr>
              <w:spacing w:after="0" w:before="0" w:lineRule="auto" w:line="276"/>
              <w:jc w:val="left"/>
            </w:pPr>
            <w:r>
              <w:rPr>
                <w:rFonts w:ascii="Times New Roman" w:hAnsi="Times New Roman" w:cs="Times New Roman" w:eastAsia="Times New Roman"/>
                <w:b w:val="false"/>
                <w:sz w:val="26"/>
              </w:rPr>
              <w:t>Luật 67/2014/QH13</w:t>
            </w:r>
          </w:p>
        </w:tc>
        <w:tc>
          <w:p/>
          <w:p>
            <w:pPr>
              <w:spacing w:after="0" w:before="0" w:lineRule="auto" w:line="276"/>
              <w:jc w:val="left"/>
            </w:pPr>
            <w:r>
              <w:rPr>
                <w:rFonts w:ascii="Times New Roman" w:hAnsi="Times New Roman" w:cs="Times New Roman" w:eastAsia="Times New Roman"/>
                <w:b w:val="false"/>
                <w:sz w:val="26"/>
              </w:rPr>
              <w:t>26-11-2014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03/2016/QH14</w:t>
            </w:r>
          </w:p>
        </w:tc>
        <w:tc>
          <w:p/>
          <w:p>
            <w:pPr>
              <w:spacing w:after="0" w:before="0" w:lineRule="auto" w:line="276"/>
              <w:jc w:val="left"/>
            </w:pPr>
            <w:r>
              <w:rPr>
                <w:rFonts w:ascii="Times New Roman" w:hAnsi="Times New Roman" w:cs="Times New Roman" w:eastAsia="Times New Roman"/>
                <w:b w:val="false"/>
                <w:sz w:val="26"/>
              </w:rPr>
              <w:t>Luật sửa đổi, bổ sung Điều 6 và Phụ lục 4 về Danh mục ngành, nghề đầu tư kinh doanh có điều kiện của Luật đầu tư</w:t>
            </w:r>
          </w:p>
        </w:tc>
        <w:tc>
          <w:p/>
          <w:p>
            <w:pPr>
              <w:spacing w:after="0" w:before="0" w:lineRule="auto" w:line="276"/>
              <w:jc w:val="left"/>
            </w:pPr>
            <w:r>
              <w:rPr>
                <w:rFonts w:ascii="Times New Roman" w:hAnsi="Times New Roman" w:cs="Times New Roman" w:eastAsia="Times New Roman"/>
                <w:b w:val="false"/>
                <w:sz w:val="26"/>
              </w:rPr>
              <w:t>22-11-2016</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09/2018/NĐ-CP</w:t>
            </w:r>
          </w:p>
        </w:tc>
        <w:tc>
          <w:p/>
          <w:p>
            <w:pPr>
              <w:spacing w:after="0" w:before="0" w:lineRule="auto" w:line="276"/>
              <w:jc w:val="left"/>
            </w:pPr>
            <w:r>
              <w:rPr>
                <w:rFonts w:ascii="Times New Roman" w:hAnsi="Times New Roman" w:cs="Times New Roman" w:eastAsia="Times New Roman"/>
                <w:b w:val="false"/>
                <w:sz w:val="26"/>
              </w:rPr>
              <w:t>Quy định chi tiết Luật thương mại và Luật Quản lý ngoại thương về hoạt động mua bán hàng hóa và các hoạt động liên quan trực tiếp đến mua bán hàng hóa của nhà đầu tư nước ngoài, tổ chức kinh tế có vốn đầu tư nước ngoài tại Việt Nam</w:t>
            </w:r>
          </w:p>
        </w:tc>
        <w:tc>
          <w:p/>
          <w:p>
            <w:pPr>
              <w:spacing w:after="0" w:before="0" w:lineRule="auto" w:line="276"/>
              <w:jc w:val="left"/>
            </w:pPr>
            <w:r>
              <w:rPr>
                <w:rFonts w:ascii="Times New Roman" w:hAnsi="Times New Roman" w:cs="Times New Roman" w:eastAsia="Times New Roman"/>
                <w:b w:val="false"/>
                <w:sz w:val="26"/>
              </w:rPr>
              <w:t>15-01-2018</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Điều kiện chung:
Đảm bảo các điều kiện chung được quy định tại Điều 22 Nghị định số 09/2018/NĐ-CP
- Điều kiện riêng:
Tổ chức kinh tế có vốn đầu tư nước ngoài có nhu cầu điều chỉnh tăng diện tích cơ sở bán lẻ thứ nhất trong trung tâm thương mại; tăng diện dích cơ sở bán lẻ ngoài cơ sở bán lẻ thứ nhất được lập trong trung tâm thương mại và không thuộc loại hình cửa hàng tiện lợi, siêu thị mini, đến mức dưới 500m2</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2026-05-15T11:52:42Z</dcterms:created>
  <dc:creator>Apache POI</dc:creator>
</cp:coreProperties>
</file>