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sinh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về việc không còn lưu giữ được sổ hộ tịch tại nơi đã đăng ký khai sinh, nếu thấy việc đăng ký lại khai sinh chính xác, đúng quy định pháp luật, công chức tư pháp - hộ tịch báo cáo Chủ tịch Ủy ban nhân dân cấp xã. Trường hợp Chủ tịch Ủy ban nhân dân đồng ý giải quyết thì công chức tư pháp - hộ tịch ghi nội dung khai sinh vào Sổ đăng ký khai sinh, cùng người đi đăng ký lại khai sinh ký vào Sổ. Chủ tịch Ủy ban nhân dân ký cấp Giấy khai sinh cho người có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Bộ phận Một cửa -  Ủy ban nhân dân cấp xã. Người có yêu cầu đăng ký lại khai sinh trực tiếp thực hiện hoặc ủy quyền cho người khác thực hiện việc đăng ký lại khai sinh.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05 ngày làm việc.  Trường hợp phải có văn bản xác minh thì thời hạn giải quyết không quá 13 ngày làm việc (không tính thời gian gửi văn bản yêu cầu xác minh và thời gian gửi văn bản trả lời kết quả xác minh qua hệ thống bưu chính). </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NQ_09_2018.pdf</w:t>
            </w:r>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NQ_09_2018.pdf</w:t>
            </w:r>
          </w:p>
        </w:tc>
        <w:tc>
          <w:p/>
          <w:p>
            <w:pPr>
              <w:spacing w:after="0" w:before="0" w:lineRule="auto" w:line="276"/>
              <w:jc w:val="left"/>
            </w:pPr>
            <w:r>
              <w:rPr>
                <w:rFonts w:ascii="Times New Roman" w:hAnsi="Times New Roman" w:cs="Times New Roman" w:eastAsia="Times New Roman"/>
                <w:b w:val="false"/>
                <w:sz w:val="26"/>
              </w:rPr>
              <w:t xml:space="preserve">Gửi hồ sơ qua hệ thống bưu chính đến Ủy ban nhân dân cấp xã. Người có yêu cầu đăng ký lại khai sinh trực tiếp thực hiện hoặc ủy quyền cho người khác thực hiện việc đăng ký lại khai sinh.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Một cửa - Ủy ban nhân dân cấp xã nơi đã đăng ký khai sinh trước đây hoặc Ủy ban nhân dân cấp xã nơi người yêu cầu đăng ký lại khai sinh thường trú.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09/2018/NQ-HĐND</w:t>
            </w:r>
          </w:p>
        </w:tc>
        <w:tc>
          <w:p/>
          <w:p>
            <w:pPr>
              <w:spacing w:after="0" w:before="0" w:lineRule="auto" w:line="276"/>
              <w:jc w:val="left"/>
            </w:pPr>
            <w:r>
              <w:rPr>
                <w:rFonts w:ascii="Times New Roman" w:hAnsi="Times New Roman" w:cs="Times New Roman" w:eastAsia="Times New Roman"/>
                <w:b w:val="false"/>
                <w:sz w:val="26"/>
              </w:rPr>
              <w:t>Nghị quyết số 09/2018/NQ-HĐND</w:t>
            </w:r>
          </w:p>
        </w:tc>
        <w:tc>
          <w:p/>
          <w:p>
            <w:pPr>
              <w:spacing w:after="0" w:before="0" w:lineRule="auto" w:line="276"/>
              <w:jc w:val="left"/>
            </w:pPr>
            <w:r>
              <w:rPr>
                <w:rFonts w:ascii="Times New Roman" w:hAnsi="Times New Roman" w:cs="Times New Roman" w:eastAsia="Times New Roman"/>
                <w:b w:val="false"/>
                <w:sz w:val="26"/>
              </w:rPr>
              <w:t>05-12-2018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2026-05-20T06:05:40Z</dcterms:created>
  <dc:creator>Apache POI</dc:creator>
</cp:coreProperties>
</file>